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83189F">
      <w:pPr>
        <w:spacing w:line="600" w:lineRule="exact"/>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附件</w:t>
      </w:r>
      <w:r>
        <w:rPr>
          <w:rFonts w:ascii="Times New Roman" w:hAnsi="Times New Roman" w:eastAsia="黑体" w:cs="Times New Roman"/>
          <w:color w:val="000000" w:themeColor="text1"/>
          <w:sz w:val="32"/>
          <w:szCs w:val="32"/>
          <w14:textFill>
            <w14:solidFill>
              <w14:schemeClr w14:val="tx1"/>
            </w14:solidFill>
          </w14:textFill>
        </w:rPr>
        <w:t>1</w:t>
      </w:r>
    </w:p>
    <w:p w14:paraId="1C544875">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686C68EC">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22021D52">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462BA8BB">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13F4F4E3">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376371F8">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D181833">
      <w:pPr>
        <w:jc w:val="center"/>
        <w:textAlignment w:val="center"/>
        <w:rPr>
          <w:rFonts w:ascii="Times New Roman" w:hAnsi="Times New Roman" w:eastAsia="宋体" w:cs="Times New Roman"/>
          <w:b/>
          <w:bCs/>
          <w:color w:val="000000" w:themeColor="text1"/>
          <w:sz w:val="72"/>
          <w:szCs w:val="72"/>
          <w14:textFill>
            <w14:solidFill>
              <w14:schemeClr w14:val="tx1"/>
            </w14:solidFill>
          </w14:textFill>
        </w:rPr>
      </w:pPr>
      <w:r>
        <w:rPr>
          <w:rFonts w:ascii="Times New Roman" w:hAnsi="Times New Roman" w:eastAsia="宋体" w:cs="Times New Roman"/>
          <w:b/>
          <w:bCs/>
          <w:color w:val="000000" w:themeColor="text1"/>
          <w:sz w:val="72"/>
          <w:szCs w:val="72"/>
          <w14:textFill>
            <w14:solidFill>
              <w14:schemeClr w14:val="tx1"/>
            </w14:solidFill>
          </w14:textFill>
        </w:rPr>
        <w:t>2026</w:t>
      </w:r>
      <w:r>
        <w:rPr>
          <w:rFonts w:hint="eastAsia" w:ascii="Times New Roman" w:hAnsi="Times New Roman" w:eastAsia="宋体" w:cs="Times New Roman"/>
          <w:b/>
          <w:bCs/>
          <w:color w:val="000000" w:themeColor="text1"/>
          <w:sz w:val="72"/>
          <w:szCs w:val="72"/>
          <w14:textFill>
            <w14:solidFill>
              <w14:schemeClr w14:val="tx1"/>
            </w14:solidFill>
          </w14:textFill>
        </w:rPr>
        <w:t>年度课题任务书</w:t>
      </w:r>
    </w:p>
    <w:p w14:paraId="206545F4">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68396AFE">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DCA8BCE">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5E624F80">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C90D077">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5A9A65CE">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0408459">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622357A">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196A7FEF">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25BABBFB">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07CA62F4">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A42EB27">
      <w:pPr>
        <w:spacing w:line="600" w:lineRule="exact"/>
        <w:jc w:val="center"/>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4442011">
      <w:pPr>
        <w:spacing w:line="600" w:lineRule="exact"/>
        <w:jc w:val="center"/>
        <w:textAlignment w:val="center"/>
        <w:rPr>
          <w:rFonts w:ascii="Times New Roman" w:hAnsi="Times New Roman" w:eastAsia="楷体_GB2312" w:cs="Times New Roman"/>
          <w:b/>
          <w:bCs/>
          <w:color w:val="000000" w:themeColor="text1"/>
          <w:spacing w:val="20"/>
          <w:sz w:val="32"/>
          <w:szCs w:val="32"/>
          <w14:textFill>
            <w14:solidFill>
              <w14:schemeClr w14:val="tx1"/>
            </w14:solidFill>
          </w14:textFill>
        </w:rPr>
      </w:pPr>
      <w:r>
        <w:rPr>
          <w:rFonts w:hint="eastAsia" w:ascii="Times New Roman" w:hAnsi="Times New Roman" w:eastAsia="楷体_GB2312" w:cs="Times New Roman"/>
          <w:b/>
          <w:bCs/>
          <w:color w:val="000000" w:themeColor="text1"/>
          <w:spacing w:val="20"/>
          <w:sz w:val="32"/>
          <w:szCs w:val="32"/>
          <w14:textFill>
            <w14:solidFill>
              <w14:schemeClr w14:val="tx1"/>
            </w14:solidFill>
          </w14:textFill>
        </w:rPr>
        <w:t>国家心理健康和精神卫生防治中心</w:t>
      </w:r>
    </w:p>
    <w:p w14:paraId="748F1167">
      <w:pPr>
        <w:spacing w:line="600" w:lineRule="exact"/>
        <w:jc w:val="center"/>
        <w:textAlignment w:val="center"/>
        <w:rPr>
          <w:rFonts w:ascii="Times New Roman" w:hAnsi="Times New Roman" w:eastAsia="楷体_GB2312" w:cs="Times New Roman"/>
          <w:b/>
          <w:bCs/>
          <w:color w:val="000000" w:themeColor="text1"/>
          <w:spacing w:val="20"/>
          <w:sz w:val="32"/>
          <w:szCs w:val="32"/>
          <w14:textFill>
            <w14:solidFill>
              <w14:schemeClr w14:val="tx1"/>
            </w14:solidFill>
          </w14:textFill>
        </w:rPr>
      </w:pPr>
      <w:r>
        <w:rPr>
          <w:rFonts w:ascii="Times New Roman" w:hAnsi="Times New Roman" w:eastAsia="楷体_GB2312" w:cs="Times New Roman"/>
          <w:b/>
          <w:bCs/>
          <w:color w:val="000000" w:themeColor="text1"/>
          <w:spacing w:val="20"/>
          <w:sz w:val="32"/>
          <w:szCs w:val="32"/>
          <w14:textFill>
            <w14:solidFill>
              <w14:schemeClr w14:val="tx1"/>
            </w14:solidFill>
          </w14:textFill>
        </w:rPr>
        <w:t>2026年9月</w:t>
      </w:r>
    </w:p>
    <w:p w14:paraId="2F9B858B">
      <w:pPr>
        <w:spacing w:line="600" w:lineRule="exact"/>
        <w:jc w:val="center"/>
        <w:textAlignment w:val="center"/>
        <w:rPr>
          <w:rFonts w:ascii="Times New Roman" w:hAnsi="Times New Roman" w:cs="Times New Roman"/>
          <w:b/>
          <w:bCs/>
          <w:color w:val="000000" w:themeColor="text1"/>
          <w14:textFill>
            <w14:solidFill>
              <w14:schemeClr w14:val="tx1"/>
            </w14:solidFill>
          </w14:textFill>
        </w:rPr>
      </w:pPr>
      <w:r>
        <w:rPr>
          <w:rFonts w:ascii="Times New Roman" w:hAnsi="Times New Roman" w:eastAsia="宋体" w:cs="Times New Roman"/>
          <w:b/>
          <w:bCs/>
          <w:color w:val="000000" w:themeColor="text1"/>
          <w:sz w:val="44"/>
          <w:szCs w:val="44"/>
          <w14:textFill>
            <w14:solidFill>
              <w14:schemeClr w14:val="tx1"/>
            </w14:solidFill>
          </w14:textFill>
        </w:rPr>
        <w:t>目 录</w:t>
      </w:r>
    </w:p>
    <w:p w14:paraId="7C5EF956">
      <w:pPr>
        <w:pStyle w:val="9"/>
        <w:tabs>
          <w:tab w:val="right" w:leader="dot" w:pos="8306"/>
        </w:tabs>
        <w:spacing w:line="600" w:lineRule="exact"/>
        <w:textAlignment w:val="center"/>
        <w:rPr>
          <w:rFonts w:ascii="Times New Roman" w:hAnsi="Times New Roman" w:eastAsia="宋体" w:cs="Times New Roman"/>
          <w:b/>
          <w:bCs/>
          <w:color w:val="000000" w:themeColor="text1"/>
          <w:sz w:val="30"/>
          <w:szCs w:val="30"/>
          <w:shd w:val="clear" w:color="auto" w:fill="F5F5F5"/>
          <w14:textFill>
            <w14:solidFill>
              <w14:schemeClr w14:val="tx1"/>
            </w14:solidFill>
          </w14:textFill>
        </w:rPr>
      </w:pPr>
    </w:p>
    <w:p w14:paraId="62906242">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rPr>
          <w:rFonts w:hint="eastAsia"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hint="eastAsia" w:ascii="Times New Roman" w:hAnsi="Times New Roman" w:eastAsia="楷体_GB2312" w:cs="Times New Roman"/>
          <w:color w:val="000000" w:themeColor="text1"/>
          <w:spacing w:val="-11"/>
          <w:sz w:val="28"/>
          <w:szCs w:val="28"/>
          <w14:textFill>
            <w14:solidFill>
              <w14:schemeClr w14:val="tx1"/>
            </w14:solidFill>
          </w14:textFill>
        </w:rPr>
        <w:instrText xml:space="preserve">TOC \o "1-1" \h \u </w:instrText>
      </w:r>
      <w:r>
        <w:rPr>
          <w:rFonts w:hint="eastAsia" w:ascii="Times New Roman" w:hAnsi="Times New Roman" w:eastAsia="楷体_GB2312" w:cs="Times New Roman"/>
          <w:color w:val="000000" w:themeColor="text1"/>
          <w:spacing w:val="-11"/>
          <w:sz w:val="28"/>
          <w:szCs w:val="28"/>
          <w14:textFill>
            <w14:solidFill>
              <w14:schemeClr w14:val="tx1"/>
            </w14:solidFill>
          </w14:textFill>
        </w:rPr>
        <w:fldChar w:fldCharType="separate"/>
      </w:r>
      <w:r>
        <w:fldChar w:fldCharType="begin"/>
      </w:r>
      <w:r>
        <w:instrText xml:space="preserve"> HYPERLINK \l "_Toc239925621"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课题1 “12356”全国统一心理援助热线服务质量评价与优化研究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_Toc239925621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1</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8166E4B">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"_Toc239925622"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课题2 心理援助热线自杀风险来电人机协同决策与优化策略研究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_Toc239925622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4</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6F9217CC">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"_Toc239925623"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课题3 基于“脑－心轴”分层递进多模态模型的青少年抑郁自杀风险早期筛查体系构建研究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_Toc239925623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7</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2A7E42B">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"_Toc239925624"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课题4 中医适宜技术在心理危机干预中的应用研究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_Toc239925624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11</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0DE93797">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"_Toc239925625"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课题5 促进“数心融合”产业生态高质量发展的政策建议</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_Toc239925625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14</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470659E5">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"_Toc239925626"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课题6 我国精神障碍疾病治疗费用与经济负担分析及政策仿真研究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_Toc239925626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17</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9B38F51">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"_Toc239925627"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课题7 重点精神治疗类医疗服务定价机制及医保支付策略研究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_Toc239925627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20</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88DEA32">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"_Toc239925628"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课题8 儿童青少年网络成瘾的早期识别与干预路径研究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_Toc239925628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23</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75E5CD9">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"_Toc239925629"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课题9 精神障碍患者社区康复分级分类管理研究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_Toc239925629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26</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5A1CE51F">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"_Toc239925630"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课题10 精神障碍康复人群长期养护一体化服务体系建设研究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_Toc239925630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30</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218EAC82">
      <w:pPr>
        <w:pStyle w:val="9"/>
        <w:tabs>
          <w:tab w:val="right" w:leader="dot" w:pos="8296"/>
        </w:tabs>
        <w:rPr>
          <w:rFonts w:ascii="Times New Roman" w:hAnsi="Times New Roman" w:eastAsia="楷体_GB2312" w:cs="Times New Roman"/>
          <w:color w:val="000000" w:themeColor="text1"/>
          <w:spacing w:val="-11"/>
          <w:sz w:val="28"/>
          <w:szCs w:val="28"/>
          <w14:textFill>
            <w14:solidFill>
              <w14:schemeClr w14:val="tx1"/>
            </w14:solidFill>
          </w14:textFill>
        </w:rPr>
      </w:pPr>
      <w:r>
        <w:fldChar w:fldCharType="begin"/>
      </w:r>
      <w:r>
        <w:instrText xml:space="preserve"> HYPERLINK \l "_Toc239925631" </w:instrText>
      </w:r>
      <w: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课题11 社区心理咨询室评价指标体系与运行规范研究</w:t>
      </w:r>
      <w:r>
        <w:rPr>
          <w:rFonts w:ascii="Times New Roman" w:hAnsi="Times New Roman" w:eastAsia="楷体_GB2312" w:cs="Times New Roman"/>
          <w:color w:val="000000" w:themeColor="text1"/>
          <w:spacing w:val="-11"/>
          <w:sz w:val="28"/>
          <w:szCs w:val="28"/>
          <w14:textFill>
            <w14:solidFill>
              <w14:schemeClr w14:val="tx1"/>
            </w14:solidFill>
          </w14:textFill>
        </w:rPr>
        <w:tab/>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begin"/>
      </w:r>
      <w:r>
        <w:rPr>
          <w:rFonts w:ascii="Times New Roman" w:hAnsi="Times New Roman" w:eastAsia="楷体_GB2312" w:cs="Times New Roman"/>
          <w:color w:val="000000" w:themeColor="text1"/>
          <w:spacing w:val="-11"/>
          <w:sz w:val="28"/>
          <w:szCs w:val="28"/>
          <w14:textFill>
            <w14:solidFill>
              <w14:schemeClr w14:val="tx1"/>
            </w14:solidFill>
          </w14:textFill>
        </w:rPr>
        <w:instrText xml:space="preserve"> PAGEREF _Toc239925631 \h </w:instrTex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separate"/>
      </w:r>
      <w:r>
        <w:rPr>
          <w:rFonts w:ascii="Times New Roman" w:hAnsi="Times New Roman" w:eastAsia="楷体_GB2312" w:cs="Times New Roman"/>
          <w:color w:val="000000" w:themeColor="text1"/>
          <w:spacing w:val="-11"/>
          <w:sz w:val="28"/>
          <w:szCs w:val="28"/>
          <w14:textFill>
            <w14:solidFill>
              <w14:schemeClr w14:val="tx1"/>
            </w14:solidFill>
          </w14:textFill>
        </w:rPr>
        <w:t>33</w:t>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r>
        <w:rPr>
          <w:rFonts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797CAD52">
      <w:pPr>
        <w:pStyle w:val="9"/>
        <w:tabs>
          <w:tab w:val="right" w:leader="dot" w:pos="8306"/>
        </w:tabs>
        <w:rPr>
          <w:rFonts w:ascii="Times New Roman" w:hAnsi="Times New Roman" w:eastAsia="楷体_GB2312" w:cs="Times New Roman"/>
          <w:spacing w:val="-11"/>
          <w:sz w:val="28"/>
          <w:szCs w:val="28"/>
        </w:rPr>
      </w:pPr>
      <w:r>
        <w:rPr>
          <w:rFonts w:hint="eastAsia" w:ascii="Times New Roman" w:hAnsi="Times New Roman" w:eastAsia="楷体_GB2312" w:cs="Times New Roman"/>
          <w:color w:val="000000" w:themeColor="text1"/>
          <w:spacing w:val="-11"/>
          <w:sz w:val="28"/>
          <w:szCs w:val="28"/>
          <w14:textFill>
            <w14:solidFill>
              <w14:schemeClr w14:val="tx1"/>
            </w14:solidFill>
          </w14:textFill>
        </w:rPr>
        <w:fldChar w:fldCharType="end"/>
      </w:r>
    </w:p>
    <w:p w14:paraId="3F122889">
      <w:pPr>
        <w:pStyle w:val="2"/>
        <w:keepNext w:val="0"/>
        <w:keepLines w:val="0"/>
        <w:snapToGrid/>
        <w:spacing w:line="600" w:lineRule="exact"/>
        <w:textAlignment w:val="center"/>
        <w:rPr>
          <w:rFonts w:ascii="Times New Roman" w:hAnsi="Times New Roman" w:cs="Times New Roman"/>
          <w:bCs/>
          <w:color w:val="000000" w:themeColor="text1"/>
          <w:szCs w:val="44"/>
          <w:shd w:val="clear" w:color="auto" w:fill="F5F5F5"/>
          <w14:textFill>
            <w14:solidFill>
              <w14:schemeClr w14:val="tx1"/>
            </w14:solidFill>
          </w14:textFill>
        </w:rPr>
      </w:pPr>
    </w:p>
    <w:p w14:paraId="36A9F273">
      <w:pPr>
        <w:spacing w:line="600" w:lineRule="exact"/>
        <w:textAlignment w:val="center"/>
        <w:rPr>
          <w:rFonts w:ascii="Times New Roman" w:hAnsi="Times New Roman" w:cs="Times New Roman"/>
          <w:color w:val="000000" w:themeColor="text1"/>
          <w14:textFill>
            <w14:solidFill>
              <w14:schemeClr w14:val="tx1"/>
            </w14:solidFill>
          </w14:textFill>
        </w:rPr>
        <w:sectPr>
          <w:pgSz w:w="11906" w:h="16838"/>
          <w:pgMar w:top="1440" w:right="1800" w:bottom="1440" w:left="1800" w:header="851" w:footer="992" w:gutter="0"/>
          <w:pgNumType w:start="1"/>
          <w:cols w:space="425" w:num="1"/>
          <w:docGrid w:type="lines" w:linePitch="312" w:charSpace="0"/>
        </w:sectPr>
      </w:pPr>
    </w:p>
    <w:p w14:paraId="30C70816">
      <w:pPr>
        <w:pStyle w:val="2"/>
        <w:keepNext w:val="0"/>
        <w:keepLines w:val="0"/>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0" w:name="_Toc239925621"/>
      <w:r>
        <w:rPr>
          <w:rFonts w:hint="eastAsia" w:ascii="Times New Roman" w:hAnsi="Times New Roman" w:cs="Times New Roman"/>
          <w:color w:val="000000" w:themeColor="text1"/>
          <w:spacing w:val="-11"/>
          <w14:textFill>
            <w14:solidFill>
              <w14:schemeClr w14:val="tx1"/>
            </w14:solidFill>
          </w14:textFill>
        </w:rPr>
        <w:t>课题</w:t>
      </w:r>
      <w:r>
        <w:rPr>
          <w:rFonts w:ascii="Times New Roman" w:hAnsi="Times New Roman" w:cs="Times New Roman"/>
          <w:color w:val="000000" w:themeColor="text1"/>
          <w:spacing w:val="-11"/>
          <w14:textFill>
            <w14:solidFill>
              <w14:schemeClr w14:val="tx1"/>
            </w14:solidFill>
          </w14:textFill>
        </w:rPr>
        <w:t xml:space="preserve">1 </w:t>
      </w:r>
      <w:r>
        <w:rPr>
          <w:rFonts w:hint="eastAsia" w:ascii="Times New Roman" w:hAnsi="Times New Roman" w:cs="Times New Roman"/>
          <w:color w:val="000000" w:themeColor="text1"/>
          <w:spacing w:val="-11"/>
          <w14:textFill>
            <w14:solidFill>
              <w14:schemeClr w14:val="tx1"/>
            </w14:solidFill>
          </w14:textFill>
        </w:rPr>
        <w:t>“12356”全国统一心理援助热线服务质量评价与优化研究</w:t>
      </w:r>
      <w:bookmarkEnd w:id="0"/>
    </w:p>
    <w:p w14:paraId="5E8DF374">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06C1A39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4DAD1099">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1.背景：</w:t>
      </w:r>
      <w:r>
        <w:rPr>
          <w:rFonts w:hint="eastAsia" w:ascii="Times New Roman" w:hAnsi="Times New Roman" w:eastAsia="仿宋_GB2312" w:cs="Times New Roman"/>
          <w:color w:val="000000" w:themeColor="text1"/>
          <w:sz w:val="32"/>
          <w:szCs w:val="32"/>
          <w14:textFill>
            <w14:solidFill>
              <w14:schemeClr w14:val="tx1"/>
            </w14:solidFill>
          </w14:textFill>
        </w:rPr>
        <w:t>党的二十届三中全会明确提出健全社会心理服务体系和危机干预机制，《“健康中国2030”规划纲要》要求加强心理健康服务体系建设和规范化管理，为心理危机干预和心理援助工作提供政策依据。为将相关要求落实为便捷可及的公共服务，2024年12月，国家卫生健康委印发《关于应用“12356”全国统一心理援助热线电话号码的通知》（国卫医政函〔2024〕259号），推进全国统一心理援助热线号码应用。2025年5月，全国31个省、自治区、直辖市均已开通12356心理援助热线，热线服务由分散运行转型为全国统一号码、地方具体承接的运行模式，成为公众获得心理支持、心理疏导和危机干预服务的重要渠道。随着服务范围扩大和运行模式转变，热线接通能力、人员配备、服务规范、风险识别、应急联动和质量保障面临更高要求。国家卫生健康委等25个部门印发的《</w:t>
      </w:r>
      <w:bookmarkStart w:id="1" w:name="OLE_LINK1"/>
      <w:r>
        <w:rPr>
          <w:rFonts w:hint="eastAsia" w:ascii="Times New Roman" w:hAnsi="Times New Roman" w:eastAsia="仿宋_GB2312" w:cs="Times New Roman"/>
          <w:color w:val="000000" w:themeColor="text1"/>
          <w:sz w:val="32"/>
          <w:szCs w:val="32"/>
          <w14:textFill>
            <w14:solidFill>
              <w14:schemeClr w14:val="tx1"/>
            </w14:solidFill>
          </w14:textFill>
        </w:rPr>
        <w:t>健全社会心理服务体系和危机干预机制实施方案</w:t>
      </w:r>
      <w:bookmarkEnd w:id="1"/>
      <w:r>
        <w:rPr>
          <w:rFonts w:hint="eastAsia" w:ascii="Times New Roman" w:hAnsi="Times New Roman" w:eastAsia="仿宋_GB2312" w:cs="Times New Roman"/>
          <w:color w:val="000000" w:themeColor="text1"/>
          <w:sz w:val="32"/>
          <w:szCs w:val="32"/>
          <w14:textFill>
            <w14:solidFill>
              <w14:schemeClr w14:val="tx1"/>
            </w14:solidFill>
          </w14:textFill>
        </w:rPr>
        <w:t>》进一步提出建设省级12356平台和心理危机干预、心理援助队伍的要求。由此，12356热线建设任务已从统一号码应用延伸至服务运行规范与质量提升，亟须完善科学、统一的评价体系，为推动服务优化提供依据。</w:t>
      </w:r>
    </w:p>
    <w:p w14:paraId="0362A164">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color w:val="000000" w:themeColor="text1"/>
          <w:sz w:val="32"/>
          <w:szCs w:val="32"/>
          <w14:textFill>
            <w14:solidFill>
              <w14:schemeClr w14:val="tx1"/>
            </w14:solidFill>
          </w14:textFill>
        </w:rPr>
        <w:t>2.目标：</w:t>
      </w:r>
      <w:r>
        <w:rPr>
          <w:rFonts w:hint="eastAsia" w:ascii="Times New Roman" w:hAnsi="Times New Roman" w:eastAsia="仿宋_GB2312" w:cs="Times New Roman"/>
          <w:color w:val="000000" w:themeColor="text1"/>
          <w:sz w:val="32"/>
          <w:szCs w:val="32"/>
          <w14:textFill>
            <w14:solidFill>
              <w14:schemeClr w14:val="tx1"/>
            </w14:solidFill>
          </w14:textFill>
        </w:rPr>
        <w:t>不同地区在人口规模、服务需求、资源基础和运行机制等方面存在差异，热线服务质量不能仅以接通率或坐席数量进行判断。需要建立兼顾服务可及性、运行保障、安全管理、咨询质量和危机处置的评价指标，运用统一、客观、可复核的方法把握热线实际运行情况，识别共性问题和区域异质性，并据此提出有针对性的优化实施路径。</w:t>
      </w:r>
    </w:p>
    <w:p w14:paraId="79D62AB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 xml:space="preserve">本研究拟完善12356心理援助热线服务质量评价指标体系及测评规则，在东、中、西部选取具有代表性的城市开展运行评价，分析影响热线服务质量的主要因素，形成可操作的评价工具和分类优化建议，为提升12356心理援助热线服务质量、完善地方运行机制和加强统筹管理提供依据。 </w:t>
      </w:r>
    </w:p>
    <w:p w14:paraId="2831302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02103BD5">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1.开展“12356”全国统一心理援助热线服务质量评价基础研究。</w:t>
      </w:r>
      <w:r>
        <w:rPr>
          <w:rFonts w:hint="eastAsia" w:ascii="Times New Roman" w:hAnsi="Times New Roman" w:eastAsia="仿宋_GB2312" w:cs="Times New Roman"/>
          <w:color w:val="000000" w:themeColor="text1"/>
          <w:sz w:val="32"/>
          <w:szCs w:val="32"/>
          <w14:textFill>
            <w14:solidFill>
              <w14:schemeClr w14:val="tx1"/>
            </w14:solidFill>
          </w14:textFill>
        </w:rPr>
        <w:t>系统梳理相关政策、技术规范和国内外心理援助热线评价经验，调研代表性地区热线的组织管理、平台建设、人员配置、服务供给、质量保障和联动处置情况，明确服务质量评价的对象、范围、维度和基本框架。</w:t>
      </w:r>
    </w:p>
    <w:p w14:paraId="43D405B0">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2.完善服务质量评价指标与测评标准。</w:t>
      </w:r>
      <w:r>
        <w:rPr>
          <w:rFonts w:hint="eastAsia" w:ascii="Times New Roman" w:hAnsi="Times New Roman" w:eastAsia="仿宋_GB2312" w:cs="Times New Roman"/>
          <w:color w:val="000000" w:themeColor="text1"/>
          <w:sz w:val="32"/>
          <w:szCs w:val="32"/>
          <w14:textFill>
            <w14:solidFill>
              <w14:schemeClr w14:val="tx1"/>
            </w14:solidFill>
          </w14:textFill>
        </w:rPr>
        <w:t>围绕服务可及性、运行保障、安全管理、咨询质量和危机处置等内容，形成评价指标体系；通过专家咨询、运行资料分析和试测，优化指标定义、数据来源、统计口径、评分方法、权重设置和目标阈值，完善红线事件、数据不足、抽样质检和结果复核规则。</w:t>
      </w:r>
    </w:p>
    <w:p w14:paraId="37EB0A55">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3.建立测评数据采集与质量控制规范。</w:t>
      </w:r>
      <w:r>
        <w:rPr>
          <w:rFonts w:hint="eastAsia" w:ascii="Times New Roman" w:hAnsi="Times New Roman" w:eastAsia="仿宋_GB2312" w:cs="Times New Roman"/>
          <w:color w:val="000000" w:themeColor="text1"/>
          <w:sz w:val="32"/>
          <w:szCs w:val="32"/>
          <w14:textFill>
            <w14:solidFill>
              <w14:schemeClr w14:val="tx1"/>
            </w14:solidFill>
          </w14:textFill>
        </w:rPr>
        <w:t>明确系统日志、接听记录、工单、录音质检、转介联动和整改记录等资料的采集、抽样、核验和汇总方法；规范数据脱敏、权限管理、隐私保护和伦理要求，保障测评资料真实、完整、可追溯。</w:t>
      </w:r>
    </w:p>
    <w:p w14:paraId="4EF81DBE">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4.开展代表性区域城市热线运行评价。</w:t>
      </w:r>
      <w:r>
        <w:rPr>
          <w:rFonts w:hint="eastAsia" w:ascii="Times New Roman" w:hAnsi="Times New Roman" w:eastAsia="仿宋_GB2312" w:cs="Times New Roman"/>
          <w:color w:val="000000" w:themeColor="text1"/>
          <w:sz w:val="32"/>
          <w:szCs w:val="32"/>
          <w14:textFill>
            <w14:solidFill>
              <w14:schemeClr w14:val="tx1"/>
            </w14:solidFill>
          </w14:textFill>
        </w:rPr>
        <w:t>在东部、中部、西部地区选取具有代表性的城市，依据评价指标体系，对12356全国统一心理援助热线服务可及性、运行保障、安全管理、咨询质量和危机处置等情况进行测评，分析不同地区热线运行特点、主要问题及其影响因素。</w:t>
      </w:r>
    </w:p>
    <w:p w14:paraId="1F99EB13">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5.提出优化服务质量建议。</w:t>
      </w:r>
      <w:r>
        <w:rPr>
          <w:rFonts w:hint="eastAsia" w:ascii="Times New Roman" w:hAnsi="Times New Roman" w:eastAsia="仿宋_GB2312" w:cs="Times New Roman"/>
          <w:color w:val="000000" w:themeColor="text1"/>
          <w:sz w:val="32"/>
          <w:szCs w:val="32"/>
          <w14:textFill>
            <w14:solidFill>
              <w14:schemeClr w14:val="tx1"/>
            </w14:solidFill>
          </w14:textFill>
        </w:rPr>
        <w:t>根据测评结果，形成面向不同地区和不同运行特点的优化建议，重点围绕人员培训、质量控制、风险处置、协同联动和资源配置等提出改进路径，完善评价结果反馈、整改跟踪和定期复测机制。</w:t>
      </w:r>
    </w:p>
    <w:p w14:paraId="6EDC04B4">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09AD4E3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6万元</w:t>
      </w:r>
    </w:p>
    <w:p w14:paraId="589DC81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3811810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1.完成评价报告1份，系统反映代表性地区12356心理援助热线运行状况、服务质量和主要问题，并提出针对性优化建议。</w:t>
      </w:r>
    </w:p>
    <w:p w14:paraId="128FDA9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2.编制行业工具书1本，形成可用于热线服务质量评价、整改跟踪的实用依据。</w:t>
      </w:r>
    </w:p>
    <w:p w14:paraId="33C2702F">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3.形成相关论文或决策咨询简报1篇，提炼研究发现，为心理援助热线规范运行和质量提升提供决策参考。</w:t>
      </w:r>
    </w:p>
    <w:p w14:paraId="455688ED">
      <w:pPr>
        <w:spacing w:line="600" w:lineRule="exact"/>
        <w:textAlignment w:val="center"/>
        <w:sectPr>
          <w:footerReference r:id="rId3" w:type="default"/>
          <w:pgSz w:w="11906" w:h="16838"/>
          <w:pgMar w:top="1440" w:right="1800" w:bottom="1440" w:left="1800" w:header="851" w:footer="992" w:gutter="0"/>
          <w:pgNumType w:start="1"/>
          <w:cols w:space="425" w:num="1"/>
          <w:docGrid w:type="lines" w:linePitch="312" w:charSpace="0"/>
        </w:sectPr>
      </w:pPr>
    </w:p>
    <w:p w14:paraId="23CFBB60">
      <w:pPr>
        <w:pStyle w:val="2"/>
        <w:keepNext w:val="0"/>
        <w:keepLines w:val="0"/>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2" w:name="_Toc239925622"/>
      <w:r>
        <w:rPr>
          <w:rFonts w:hint="eastAsia" w:ascii="Times New Roman" w:hAnsi="Times New Roman" w:cs="Times New Roman"/>
          <w:color w:val="000000" w:themeColor="text1"/>
          <w:spacing w:val="-11"/>
          <w14:textFill>
            <w14:solidFill>
              <w14:schemeClr w14:val="tx1"/>
            </w14:solidFill>
          </w14:textFill>
        </w:rPr>
        <w:t>课题</w:t>
      </w:r>
      <w:r>
        <w:rPr>
          <w:rFonts w:ascii="Times New Roman" w:hAnsi="Times New Roman" w:cs="Times New Roman"/>
          <w:color w:val="000000" w:themeColor="text1"/>
          <w:spacing w:val="-11"/>
          <w14:textFill>
            <w14:solidFill>
              <w14:schemeClr w14:val="tx1"/>
            </w14:solidFill>
          </w14:textFill>
        </w:rPr>
        <w:t xml:space="preserve">2 </w:t>
      </w:r>
      <w:r>
        <w:rPr>
          <w:rFonts w:hint="eastAsia" w:ascii="Times New Roman" w:hAnsi="Times New Roman" w:cs="Times New Roman"/>
          <w:color w:val="000000" w:themeColor="text1"/>
          <w:spacing w:val="-11"/>
          <w14:textFill>
            <w14:solidFill>
              <w14:schemeClr w14:val="tx1"/>
            </w14:solidFill>
          </w14:textFill>
        </w:rPr>
        <w:t>心理援助热线自杀风险来电人机协同决策与优化策略研究</w:t>
      </w:r>
      <w:bookmarkEnd w:id="2"/>
    </w:p>
    <w:p w14:paraId="73540C17">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A60D3B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6FA76CB2">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心理援助热线因低门槛、匿名性和即时性，已成为自杀预防和危机干预的重要防线。随着全国统一心理援助热线“12356”的推进，我国心理援助热线正逐步向标准化、规范化和体系化方向发展，服务重点也由“开通热线”转向提升服务质量和专业能力。自杀风险来电是热线服务中风险较高、处置难度较大的情形，也是当前热线规范化建设需要重点关注的问题。</w:t>
      </w:r>
    </w:p>
    <w:p w14:paraId="0501D8B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自杀风险来电具有信息不完整、风险线索动态变化等特点，咨询员需要在有限时间内持续获取和整合相关信息，对风险程度、现实处境和支持资源等进行综合判断，并根据通话进展及时调整处置决策。尽管现有制度已对高风险来电处置提出基本要求，但真实服务情境复杂多变，咨询员的判断和处置仍在较大程度上依赖个人经验，决策过程因而存在较高不确定性。</w:t>
      </w:r>
    </w:p>
    <w:p w14:paraId="32E27A55">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人工智能技术的发展为高风险来电处置提供了新的支持可能。将AI与热线服务相结合，有望为信息掌握、风险研判和处置决策提供辅助支持，但其应用也需充分考虑功能边界、适用条件及潜在风险。基于此，本项目拟围绕心理援助热线自杀风险来电处置决策，梳理决策过程及现实问题，分析智能辅助需求，探索AI与专业人员协同开展高风险来电处置决策的合理模式，构建人机协同决策框架并形成优化策略和实践建议，为12356心理援助热线规范处置、人员培训、质量管理及智能化建设提供参考。</w:t>
      </w:r>
    </w:p>
    <w:p w14:paraId="357BD0A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6A00F607">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（一）梳理自杀风险来电处置决策过程</w:t>
      </w:r>
    </w:p>
    <w:p w14:paraId="41EB567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围绕心理援助热线自杀风险来电处置，系统梳理相关研究与实践进展，结合相关理论及实际工作特点，分析咨询员在高风险来电处置中的主要决策任务及其相互关系，形成自杀风险来电处置决策过程基本框架，为后续研究提供基础。</w:t>
      </w:r>
    </w:p>
    <w:p w14:paraId="7C5FF61A">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（二）分析关键困难及智能辅助需求</w:t>
      </w:r>
    </w:p>
    <w:p w14:paraId="0871477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立足心理援助热线实际工作场景，分析咨询员在自杀风险来电处置中的主要困难和不确定性，梳理不同决策环节的智能辅助需求及AI参与高风险来电处置需要重点关注的问题，形成1份关键困难及智能辅助需求清单，为人机协同决策研究提供依据。</w:t>
      </w:r>
    </w:p>
    <w:p w14:paraId="7CCFA287">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（三）构建人机协同决策框架与优化策略</w:t>
      </w:r>
    </w:p>
    <w:p w14:paraId="449B106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在前期研究基础上，结合心理援助热线服务规范、自杀风险处置要求及AI应用相关原则，明确AI参与自杀风险来电处置的合理定位、适用范围及基本要求，分析人工判断与智能辅助之间的协同关系，形成1套心理援助热线自杀风险来电人机协同决策框架及相应的优化策略和实践建议，并开展不少于1轮专业论证。</w:t>
      </w:r>
    </w:p>
    <w:p w14:paraId="0BD00C1E">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（四）完善人机协同决策方案并推动成果转化</w:t>
      </w:r>
    </w:p>
    <w:p w14:paraId="476D9B3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结合心理援助热线实际工作需求，对形成的人机协同决策框架和优化策略进行综合评估，重点关注其专业性、适用性、可操作性及与现有热线服务工作的衔接情况，并根据论证和实践反馈进一步修订完善。在此基础上，总结项目研究结果和实践经验，推动相关成果向高风险来电处置、人员培训、质量管理及热线智能化建设等实际应用场景转化。</w:t>
      </w:r>
    </w:p>
    <w:p w14:paraId="52E7546E">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0F9EF18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6万元</w:t>
      </w:r>
    </w:p>
    <w:p w14:paraId="5FA5962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6E7E072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1.形成项目研究报告1份，总结心理援助热线自杀风险来电人机协同决策相关研究结果及实践建议；</w:t>
      </w:r>
    </w:p>
    <w:p w14:paraId="73E5F4E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2.编制相关行业工具书1本，为心理援助热线高风险来电处置及人机协同应用提供参考；</w:t>
      </w:r>
    </w:p>
    <w:p w14:paraId="57F04A1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3.学术论文或工作简报1篇。</w:t>
      </w:r>
    </w:p>
    <w:p w14:paraId="3857DD14">
      <w:pPr>
        <w:spacing w:line="600" w:lineRule="exact"/>
        <w:textAlignment w:val="center"/>
        <w:sectPr>
          <w:pgSz w:w="11906" w:h="16838"/>
          <w:pgMar w:top="1440" w:right="1800" w:bottom="1440" w:left="1800" w:header="851" w:footer="992" w:gutter="0"/>
          <w:cols w:space="425" w:num="1"/>
          <w:docGrid w:type="lines" w:linePitch="312" w:charSpace="0"/>
        </w:sectPr>
      </w:pPr>
    </w:p>
    <w:p w14:paraId="1DC917FE">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3" w:name="_Toc239925623"/>
      <w:r>
        <w:rPr>
          <w:rFonts w:hint="eastAsia" w:ascii="Times New Roman" w:hAnsi="Times New Roman" w:cs="Times New Roman"/>
          <w:color w:val="000000" w:themeColor="text1"/>
          <w:spacing w:val="-11"/>
          <w14:textFill>
            <w14:solidFill>
              <w14:schemeClr w14:val="tx1"/>
            </w14:solidFill>
          </w14:textFill>
        </w:rPr>
        <w:t>课题3</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基于“脑－心轴”分层递进多模态模型的青少年抑郁自杀风险早期筛查体系构建研究</w:t>
      </w:r>
      <w:bookmarkEnd w:id="3"/>
    </w:p>
    <w:p w14:paraId="46AA28F0">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08F16BD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30C2B2C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青少年自杀已成为我国及全球重大公共卫生问题。《中国国民心理健康发展报告（2023-2024）》显示，青少年抑郁检出率持续攀升，在14-18岁年龄段尤为突出，而抑郁是自杀行为最重要的危险因素之一。然而，目前青少年自杀风险评估高度依赖主观量表，缺乏客观、可量化、可推广的生物学预警指标，难以实现早期识别与精准干预。</w:t>
      </w:r>
    </w:p>
    <w:p w14:paraId="385070E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2026年，国家卫生健康委员会领导在调研本中心时明确指示，要重视“双心工作”——心脏与心理协同防治。在神经科学与心血管医学的交叉领域，“脑－心轴”（Brain-Heart Axis）已成为近五年的研究热点。Catrambone等（2025）的研究首次系统刻画了抑郁人群的脑－心双向交互功能失调模式，发现抑郁症状的持续与中枢向外周的持续性交感亢进及外周向中枢的迷走传入减弱密切相关。这一发现提示，单纯从心理或心脏单维度评估抑郁存在根本性局限，必须建立涵盖中枢与外围的联合评估体系。</w:t>
      </w:r>
    </w:p>
    <w:p w14:paraId="010913A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bookmarkStart w:id="4" w:name="OLE_LINK2"/>
      <w:r>
        <w:rPr>
          <w:rFonts w:hint="eastAsia" w:ascii="Times New Roman" w:hAnsi="Times New Roman" w:eastAsia="仿宋_GB2312" w:cs="Times New Roman"/>
          <w:color w:val="000000" w:themeColor="text1"/>
          <w:sz w:val="32"/>
          <w:szCs w:val="32"/>
          <w14:textFill>
            <w14:solidFill>
              <w14:schemeClr w14:val="tx1"/>
            </w14:solidFill>
          </w14:textFill>
        </w:rPr>
        <w:t>在自杀风险的客观评估方面，2026年发表于精神病学顶刊《Journal of Affective Disorders》的一项10年随访研究提供了关键证据：研究者对46名抑郁症患者进行基线中脑缝核经颅超声检查并追踪10年，发现中缝核回声不可见者10年内暴力自杀发生率为75%，回声减弱者为22%，而回声正常者十年内暴力自杀发生率为0%，中缝核回声正常预测10年无暴力自杀的特异性达100%。</w:t>
      </w:r>
      <w:bookmarkEnd w:id="4"/>
      <w:r>
        <w:rPr>
          <w:rFonts w:hint="eastAsia" w:ascii="Times New Roman" w:hAnsi="Times New Roman" w:eastAsia="仿宋_GB2312" w:cs="Times New Roman"/>
          <w:color w:val="000000" w:themeColor="text1"/>
          <w:sz w:val="32"/>
          <w:szCs w:val="32"/>
          <w14:textFill>
            <w14:solidFill>
              <w14:schemeClr w14:val="tx1"/>
            </w14:solidFill>
          </w14:textFill>
        </w:rPr>
        <w:t>该研究明确指出，经颅超声可成为一种广泛可用、无创、患者友好且成本效益高的筛查工具，用于识别需要密切监测以预防暴力自杀行为的高危患者。然而，该技术在国内精神专科医院尚未推广应用，针对青少年群体的系统研究仍是空白。</w:t>
      </w:r>
    </w:p>
    <w:p w14:paraId="5442F80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在心率变异性（HRV）作为客观生物学指标方面，Chen等（2025）的研究证实，基于夜间HRV参数的随机森林模型识别青少年抑郁症的准确率可达80.6%。Koch等（2026）对青少年抑郁症患者进行的10周前瞻性随访研究进一步发现，临床改善与自主神经功能恢复之间存在显著的分离现象，提示HRV可能捕捉到量表无法反映的亚临床自主神经状态。在经颅多普勒（TCD）应用于青少年脑功能评估方面，Jackson等（2014）的系统综述纳入了25项研究共计1693名参与者，证实TCD可有效评估儿童及青少年的脑血流动力学与神经认知功能的关联。此外，Tsuchiyagaito等（2025）发表于《Neuropsychopharmacology》的研究证实，超声技术可精准调控与抑郁相关的深部脑白质纤维束靶点，进一步强化了脑超声技术在抑郁评估中的独特临床价值。</w:t>
      </w:r>
    </w:p>
    <w:p w14:paraId="28321E0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基于上述文献证据与研究缺口，</w:t>
      </w:r>
      <w:bookmarkStart w:id="16" w:name="_GoBack"/>
      <w:bookmarkEnd w:id="16"/>
      <w:r>
        <w:rPr>
          <w:rFonts w:hint="eastAsia" w:ascii="Times New Roman" w:hAnsi="Times New Roman" w:eastAsia="仿宋_GB2312" w:cs="Times New Roman"/>
          <w:color w:val="000000" w:themeColor="text1"/>
          <w:sz w:val="32"/>
          <w:szCs w:val="32"/>
          <w14:textFill>
            <w14:solidFill>
              <w14:schemeClr w14:val="tx1"/>
            </w14:solidFill>
          </w14:textFill>
        </w:rPr>
        <w:t>构建基于“脑－心轴”理论的分层递进式多模态筛查体系。具体目标包括：（1）在青少年人群中验证脑实质超声（中缝核、黑质、第三脑室、侧脑室）及TCD脑血流参数与自杀风险/抑郁状态的关联；（2）联合HRV及心理量表，构建“结构－功能－心理”三模态筛查模型；（3）制定适合地方精神专科医院推广的标准化超声筛查方案与操作规范（SOP），为未来形成行业标准或专家共识提供核心数据支撑，切实推动青少年自杀风险的早筛、早防、早干预。</w:t>
      </w:r>
    </w:p>
    <w:p w14:paraId="25B5DC2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4CCBFBE4">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（一）多中心数据采集与数据库建设</w:t>
      </w:r>
    </w:p>
    <w:p w14:paraId="488B425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依托2-3家地方精神专科医院，招募12-18岁青少年抑郁/自杀高危组与健康对照组，总样本量不少于200例。采集内容包括：（a）心理量表（PHQ-9、自杀风险评估量表）；（b）心率变异性（HRV）参数（时域SDNN、RMSSD，频域LF、HF、LF/HF）；（c）脑实质超声（中缝核回声分级、黑质回声分级、第三脑室宽度、侧脑室宽度）；（d）TCD脑血流参数（大脑中动脉血流速度Vm、搏动指数PI、阻力指数RI）；（e）心脏超声参数（LVEF、LAVI、TAPSE、FAC）。外部承接单位负责统一数据采集平台搭建及数据库管理。</w:t>
      </w:r>
    </w:p>
    <w:p w14:paraId="217D5F7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（二）标准化超声筛查方案制定与推广</w:t>
      </w:r>
    </w:p>
    <w:p w14:paraId="61C36FB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由承接单位牵头制定《地方精神专科医院青少年自杀风险超声筛查操作规范（草案）》，明确设备要求、标准切面、测量参数、回声分级标准及图像存储规范；完成操作者培训与一致性检验（组内相关系数ICC&gt;0.85）；形成可在基层精神专科医院复制推广的标准化操作流程（SOP）。</w:t>
      </w:r>
    </w:p>
    <w:p w14:paraId="21A13DAF">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（三）多模态筛查模型构建与验证</w:t>
      </w:r>
    </w:p>
    <w:p w14:paraId="41C82EA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综合上述多源数据，采用机器学习方法构建自杀风险分层预警模型，比较不同指标组合的筛查效能（AUC、敏感度、特异度），确定最优简捷筛查组合，为实现低成本、高精度的基层推广提供算法基础。</w:t>
      </w:r>
    </w:p>
    <w:p w14:paraId="37B197FA">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（四）专家共识草案与转化路径设计</w:t>
      </w:r>
    </w:p>
    <w:p w14:paraId="3320223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形成专家共识；完成不少于200例的规范化多模态数据库（数据架构符合医疗器械注册数据标准），为后续成果转化与行业标准申报奠定基础。</w:t>
      </w:r>
    </w:p>
    <w:p w14:paraId="72CD945C">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53C17B57">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40A5A46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2DA1D20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1.课题研究报告1份；</w:t>
      </w:r>
    </w:p>
    <w:p w14:paraId="3403F82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2.《青少年自杀风险“脑-心轴”多模态超声筛查技术规范（草案）》及标准化操作流程（SOP）文本各1份；</w:t>
      </w:r>
    </w:p>
    <w:p w14:paraId="1753587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3.基于多模态参数的青少年自杀风险分层预警模型（算法原型）1套；</w:t>
      </w:r>
    </w:p>
    <w:p w14:paraId="7376A45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4.规范化多模态筛查数据库1份（不少于200例，符合医疗器械注册数据标准）；</w:t>
      </w:r>
    </w:p>
    <w:p w14:paraId="298AFA1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 核心期刊或SCI论文不少于2篇。</w:t>
      </w:r>
    </w:p>
    <w:p w14:paraId="53A91A99">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5" w:name="_Toc239925624"/>
      <w:r>
        <w:rPr>
          <w:rFonts w:hint="eastAsia" w:ascii="Times New Roman" w:hAnsi="Times New Roman" w:cs="Times New Roman"/>
          <w:color w:val="000000" w:themeColor="text1"/>
          <w:spacing w:val="-11"/>
          <w14:textFill>
            <w14:solidFill>
              <w14:schemeClr w14:val="tx1"/>
            </w14:solidFill>
          </w14:textFill>
        </w:rPr>
        <w:t>课题4</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中医适宜技术在心理危机干预中的应用研究</w:t>
      </w:r>
      <w:bookmarkEnd w:id="5"/>
    </w:p>
    <w:p w14:paraId="196E3C0C">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3502516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34F8D8D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心理健康是健康的重要组成部分。随着经济社会快速发展、生活节奏加快，公众心理压力持续增大，青少年情绪问题、职业人群应激障碍、灾害事故后心理创伤等心理危机问题日益突出。《健康中国行动（2019—2030年）》心理健康促进行动明确要求提升居民心理健康素养水平，加强心理危机干预和心理援助工作。当前心理危机干预专业力量相对不足，干预手段以心理咨询和药物治疗为主，覆盖面有限，公众心理危机识别、自助与求助能力亟待提升，亟须发掘简便易行、易于在基层推广的干预资源。</w:t>
      </w:r>
    </w:p>
    <w:p w14:paraId="49A3B1C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中医药在情志病防治方面积淀深厚，“治未病”理念与心理危机“早识别、早干预”的要求高度契合。耳穴压丸、针灸、推拿、八段锦、五音疗法、情志疗法等中医适宜技术具有简、便、验、廉的特点，在缓解焦虑、抑郁、失眠等情绪问题方面已积累一定临床证据，适宜在社区、学校等场景推广应用。但目前相关技术在心理危机干预领域的应用尚缺乏系统梳理，技术清单、适用边界和操作规范不明，面向公众的科普转化不足。2023年中国公民中医药健康文化素养调查显示，“中医药公众适宜方法”维度水平仍低于其他维度，公众对中医适宜技术的知晓率和使用率有较大提升空间。</w:t>
      </w:r>
    </w:p>
    <w:p w14:paraId="7A0152E9">
      <w:pPr>
        <w:spacing w:line="600" w:lineRule="exact"/>
        <w:ind w:firstLine="640" w:firstLineChars="200"/>
        <w:textAlignment w:val="center"/>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旨在：（1）系统梳理中医适宜技术在心理危机预防、识别、干预与康复各环节的应用现状与证据，形成技术清单；（2）遴选安全、有效、易于推广的重点技术，开展科普转化与科普实践，探索“中医适宜技术+心理危机干预”科学普及的有效路径；（3）提升重点人群心理健康素养和中医药健康文化素养，形成可复制、可推广的工作模式。</w:t>
      </w:r>
    </w:p>
    <w:p w14:paraId="33F593B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6F30A93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（一）文献研究与需求分析。</w:t>
      </w:r>
      <w:r>
        <w:rPr>
          <w:rFonts w:hint="eastAsia" w:ascii="Times New Roman" w:hAnsi="Times New Roman" w:eastAsia="仿宋_GB2312" w:cs="Times New Roman"/>
          <w:color w:val="000000" w:themeColor="text1"/>
          <w:sz w:val="32"/>
          <w:szCs w:val="32"/>
          <w14:textFill>
            <w14:solidFill>
              <w14:schemeClr w14:val="tx1"/>
            </w14:solidFill>
          </w14:textFill>
        </w:rPr>
        <w:t>系统检索国内外文献、临床指南和专家共识，梳理耳穴压丸、针灸、推拿、刮痧、八段锦、五音疗法、情志疗法等中医适宜技术在心理危机预防、识别、干预与康复各环节的应用现状、循证证据、操作规范和禁忌，形成技术清单和证据综述；结合心理健康素养监测、中医药健康文化素养调查等数据，分析青少年、老年人等重点人群的需求特点，明确科普方向和重点内容。</w:t>
      </w:r>
    </w:p>
    <w:p w14:paraId="38D7DB93">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（二）技术遴选与科普实践。</w:t>
      </w:r>
      <w:r>
        <w:rPr>
          <w:rFonts w:hint="eastAsia" w:ascii="Times New Roman" w:hAnsi="Times New Roman" w:eastAsia="仿宋_GB2312" w:cs="Times New Roman"/>
          <w:color w:val="000000" w:themeColor="text1"/>
          <w:sz w:val="32"/>
          <w:szCs w:val="32"/>
          <w14:textFill>
            <w14:solidFill>
              <w14:schemeClr w14:val="tx1"/>
            </w14:solidFill>
          </w14:textFill>
        </w:rPr>
        <w:t>制定安全性、有效性、可操作性、可及性相统一的遴选标准，遴选3—5项重点技术；将专业内容转化为公众易于理解、便于掌握的科普内容，编制中医心理调适科普手册和科普短视频；依托博物馆、社区、学校、医疗机构等场景，开展科普讲座、适宜技术体验和线上传播，探索技术、场景与传播相结合的科普模式。适宜技术体验由具备资质的专业人员按操作规范实施，严格遵循心理危机干预伦理和医疗安全要求。</w:t>
      </w:r>
    </w:p>
    <w:p w14:paraId="4C0F6C58">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（三）效果评估与路径总结。</w:t>
      </w:r>
      <w:r>
        <w:rPr>
          <w:rFonts w:hint="eastAsia" w:ascii="Times New Roman" w:hAnsi="Times New Roman" w:eastAsia="仿宋_GB2312" w:cs="Times New Roman"/>
          <w:color w:val="000000" w:themeColor="text1"/>
          <w:sz w:val="32"/>
          <w:szCs w:val="32"/>
          <w14:textFill>
            <w14:solidFill>
              <w14:schemeClr w14:val="tx1"/>
            </w14:solidFill>
          </w14:textFill>
        </w:rPr>
        <w:t>通过问卷调查和焦点访谈，评估科普实践的目标人群知晓率、满意度和行为改变情况；总结依托中医适宜技术开展心理危机干预科学普及的有效路径，形成可复制、可推广的工作模式；撰写研究报告，凝练论文或简报，按期提交验收。</w:t>
      </w:r>
    </w:p>
    <w:p w14:paraId="06BC52ED">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01C5F13E">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21C49245">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0D2C2422">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1.《中医适宜技术在心理危机干预中的应用研究》报告一份；</w:t>
      </w:r>
    </w:p>
    <w:p w14:paraId="7172E645">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2.中医适宜技术心理调适科普作品一套（科普手册一册、短视频3—5部）；</w:t>
      </w:r>
    </w:p>
    <w:p w14:paraId="5FF8CE9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3.论文或简报1篇。</w:t>
      </w:r>
    </w:p>
    <w:p w14:paraId="671960EC">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6" w:name="_Toc60111"/>
      <w:bookmarkStart w:id="7" w:name="_Toc239925625"/>
      <w:r>
        <w:rPr>
          <w:rFonts w:hint="eastAsia" w:ascii="Times New Roman" w:hAnsi="Times New Roman" w:cs="Times New Roman"/>
          <w:color w:val="000000" w:themeColor="text1"/>
          <w:spacing w:val="-11"/>
          <w14:textFill>
            <w14:solidFill>
              <w14:schemeClr w14:val="tx1"/>
            </w14:solidFill>
          </w14:textFill>
        </w:rPr>
        <w:t>课题5</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促进“数心融合”产业生态高质量发展的政策建议</w:t>
      </w:r>
      <w:bookmarkEnd w:id="6"/>
      <w:bookmarkEnd w:id="7"/>
    </w:p>
    <w:p w14:paraId="53A82C2E">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75B3B082">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0987563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国家卫生健康委等25部门2026年3月联合印发《健全社会心理服务体系和危机干预机制实施方案》，要求到2030年覆盖全人群、全生命周期的社会心理服务体系和危机干预机制基本健全。随着人工智能、大数据、虚拟现实等技术加快嵌入心理健康促进、风险识别、咨询辅助、康复支持和服务管理，“数心融合”正在成为拓展服务供给、提升资源配置效率、改善服务可及性的重要方向。</w:t>
      </w:r>
    </w:p>
    <w:p w14:paraId="2803B13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当前，在科技创新与产业创新深度融合的宏观政策背景下，我国相关技术迭代和应用场景拓展较快，但产业化仍处于探索阶段，主要面临四方面制约：一是产品属性、服务边界、风险等级和适用规则不够清晰，医疗与非医疗服务边界有待进一步厘清；二是产品有效性、安全性、伦理合规性、数据治理和服务质量缺少相互衔接的评价依据；三是技术研发、专业服务、支付采购、监督管理、人才培养与基础设施之间协同不足，供需匹配和成果转化效率不高；四是价值实现和支付机制尚不成熟，部分模式依赖项目投入，规模化复制和持续运营能力不足。</w:t>
      </w:r>
    </w:p>
    <w:p w14:paraId="30B30D2F">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研究应当立足未来5—10年技术演进趋势和社会心理服务体系建设需求，构建“需求牵引—分类治理—标准评价—场景验证—生态协同—政策保障”的研究框架，系统提出产品分类与能力图谱、分级评估和标准建设路径、产业生态优化机制、可持续商业模式及政策工具组合，推动形成安全有效、规范有序、普惠可及、成本可承受、主体可持续的“数心融合”产业生态。</w:t>
      </w:r>
    </w:p>
    <w:p w14:paraId="600D9B5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050E3015">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1.产业需求与发展基础研究。</w:t>
      </w:r>
      <w:r>
        <w:rPr>
          <w:rFonts w:hint="eastAsia" w:ascii="Times New Roman" w:hAnsi="Times New Roman" w:eastAsia="仿宋_GB2312" w:cs="Times New Roman"/>
          <w:color w:val="000000" w:themeColor="text1"/>
          <w:sz w:val="32"/>
          <w:szCs w:val="32"/>
          <w14:textFill>
            <w14:solidFill>
              <w14:schemeClr w14:val="tx1"/>
            </w14:solidFill>
          </w14:textFill>
        </w:rPr>
        <w:t>面向政府、医疗卫生机构、学校、社区、企业及公众开展供需两侧调研，梳理当前社会心理服务的主要数智化需求与产品形态（如AI辅助心理评估、智能监测预警、数字疗法及其他数字化干预、AI辅助咨询、虚拟现实辅助干预和线上自助服务等），分析其技术路径、服务对象、应用场景、证据基础、市场成熟度及供需缺口，形成产品分类体系、能力图谱和成熟度判断。</w:t>
      </w:r>
    </w:p>
    <w:p w14:paraId="0C573B5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2.分级评估与标准建设研究。</w:t>
      </w:r>
      <w:r>
        <w:rPr>
          <w:rFonts w:hint="eastAsia" w:ascii="Times New Roman" w:hAnsi="Times New Roman" w:eastAsia="仿宋_GB2312" w:cs="Times New Roman"/>
          <w:color w:val="000000" w:themeColor="text1"/>
          <w:sz w:val="32"/>
          <w:szCs w:val="32"/>
          <w14:textFill>
            <w14:solidFill>
              <w14:schemeClr w14:val="tx1"/>
            </w14:solidFill>
          </w14:textFill>
        </w:rPr>
        <w:t>比较国内外相关法律政策、标准、指南和评估工具，形成覆盖研发、验证、部署、应用、运行和退出等环节的全生命周期治理框架；围绕科学有效性、安全性、伦理合规性、隐私与数据安全、互联互通、服务质量、可及性和成本效果等方面，提出分类型、分等级的评估指南框架，以及标准制定、修订、实施和动态更新的工作框架。</w:t>
      </w:r>
    </w:p>
    <w:p w14:paraId="098B7A48">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3.产业生态与演化机制研究。</w:t>
      </w:r>
      <w:r>
        <w:rPr>
          <w:rFonts w:hint="eastAsia" w:ascii="Times New Roman" w:hAnsi="Times New Roman" w:eastAsia="仿宋_GB2312" w:cs="Times New Roman"/>
          <w:color w:val="000000" w:themeColor="text1"/>
          <w:sz w:val="32"/>
          <w:szCs w:val="32"/>
          <w14:textFill>
            <w14:solidFill>
              <w14:schemeClr w14:val="tx1"/>
            </w14:solidFill>
          </w14:textFill>
        </w:rPr>
        <w:t>识别技术研发、产品转化、专业服务、渠道运营、支付采购、人才培养、数据支撑和监督管理等主体及其关系，绘制产业链、价值链和数据链图谱；研判未来5—10年产业演化趋势、关键瓶颈和潜在增长领域，提出跨部门协同、数据有序流通、产学研医融合及区域梯度发展的实现机制。</w:t>
      </w:r>
    </w:p>
    <w:p w14:paraId="46DEC631">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4.商业模式与场景验证研究。</w:t>
      </w:r>
      <w:r>
        <w:rPr>
          <w:rFonts w:hint="eastAsia" w:ascii="Times New Roman" w:hAnsi="Times New Roman" w:eastAsia="仿宋_GB2312" w:cs="Times New Roman"/>
          <w:color w:val="000000" w:themeColor="text1"/>
          <w:sz w:val="32"/>
          <w:szCs w:val="32"/>
          <w14:textFill>
            <w14:solidFill>
              <w14:schemeClr w14:val="tx1"/>
            </w14:solidFill>
          </w14:textFill>
        </w:rPr>
        <w:t>研究国内外个人付费、企业员工援助、政府购买、平台订阅、医疗或保险支付等典型模式，评估其价值主张、成本收益、付费主体、合规边界和复制条件；面向基层社区、学校、企业和医疗机构，遴选2—3类模式开展创新设计，形成包含服务流程、收益机制、风险控制、评价要点和试点条件的场景化方案。</w:t>
      </w:r>
    </w:p>
    <w:p w14:paraId="6B661BD1">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5.产业政策组合与政策建议。</w:t>
      </w:r>
      <w:r>
        <w:rPr>
          <w:rFonts w:hint="eastAsia" w:ascii="Times New Roman" w:hAnsi="Times New Roman" w:eastAsia="仿宋_GB2312" w:cs="Times New Roman"/>
          <w:color w:val="000000" w:themeColor="text1"/>
          <w:sz w:val="32"/>
          <w:szCs w:val="32"/>
          <w14:textFill>
            <w14:solidFill>
              <w14:schemeClr w14:val="tx1"/>
            </w14:solidFill>
          </w14:textFill>
        </w:rPr>
        <w:t>综合考量标准引领、科技创新、财政投入、政府采购、税收支持、人才培养、数据治理、包容审慎监管等政策工具，提出促进“数心融合”产业生态健康发展的系统性政策建议。</w:t>
      </w:r>
    </w:p>
    <w:p w14:paraId="47460ED8">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65B4604A">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6万元</w:t>
      </w:r>
    </w:p>
    <w:p w14:paraId="53DEDF55">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282AA1A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1.综合报告：《促进“数心融合”产业生态高质量发展的政策建议研究报告》1份。</w:t>
      </w:r>
    </w:p>
    <w:p w14:paraId="0688ABD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2.专题报告4份：产业需求与发展现状、产品分级评估与标准建设、产业生态与演化机制、商业模式与场景验证。</w:t>
      </w:r>
    </w:p>
    <w:p w14:paraId="4433EEC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3.国内外相关政策标准与典型案例资料库1套。</w:t>
      </w:r>
    </w:p>
    <w:p w14:paraId="175B31B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4.决策咨询简报或论文1篇。</w:t>
      </w:r>
    </w:p>
    <w:p w14:paraId="208E0308">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8" w:name="_Toc239925626"/>
      <w:r>
        <w:rPr>
          <w:rFonts w:hint="eastAsia" w:ascii="Times New Roman" w:hAnsi="Times New Roman" w:cs="Times New Roman"/>
          <w:color w:val="000000" w:themeColor="text1"/>
          <w:spacing w:val="-11"/>
          <w14:textFill>
            <w14:solidFill>
              <w14:schemeClr w14:val="tx1"/>
            </w14:solidFill>
          </w14:textFill>
        </w:rPr>
        <w:t>课题6</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我国精神障碍疾病治疗费用与经济负担分析及政策仿真研究</w:t>
      </w:r>
      <w:bookmarkEnd w:id="8"/>
    </w:p>
    <w:p w14:paraId="0317186F">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28111B9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335C2B5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精神卫生与心理健康问题已成全球重大公共卫生挑战。2023年，精神障碍约占全球疾病负担（DALYs）的6%，且卫生资源长期配置不足。在我国，伴随社会转型与老龄化加速，精神障碍负担持续攀升，占疾病总负担比重已升至约7%，供需矛盾突出。</w:t>
      </w:r>
    </w:p>
    <w:p w14:paraId="71F7EEB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国际上，精神障碍经济负担测算方法较为成熟，WHO的SHA 2011核算体系提供了标准化工具。国内相关研究多聚焦于精神分裂症、抑郁症等明确诊断疾病，费用可通过病案系统直接归集。然而，针对未达临床诊断标准、仅表现为心理困扰状态的心理健康问题，经济负担研究极为匮乏。开展此项研究具有多重政策意义。在资源配置上，精确测算费用结构可为财政与卫健部门</w:t>
      </w:r>
      <w:r>
        <w:rPr>
          <w:rFonts w:ascii="Times New Roman" w:hAnsi="Times New Roman" w:eastAsia="仿宋_GB2312" w:cs="Times New Roman"/>
          <w:color w:val="000000" w:themeColor="text1"/>
          <w:sz w:val="32"/>
          <w:szCs w:val="32"/>
          <w14:textFill>
            <w14:solidFill>
              <w14:schemeClr w14:val="tx1"/>
            </w14:solidFill>
          </w14:textFill>
        </w:rPr>
        <w:t>提供预算编制的刚性依据</w:t>
      </w: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进而</w:t>
      </w:r>
      <w:r>
        <w:rPr>
          <w:rFonts w:hint="eastAsia" w:ascii="Times New Roman" w:hAnsi="Times New Roman" w:eastAsia="仿宋_GB2312" w:cs="Times New Roman"/>
          <w:color w:val="000000" w:themeColor="text1"/>
          <w:sz w:val="32"/>
          <w:szCs w:val="32"/>
          <w14:textFill>
            <w14:solidFill>
              <w14:schemeClr w14:val="tx1"/>
            </w14:solidFill>
          </w14:textFill>
        </w:rPr>
        <w:t>有助于扭转精神卫生投入历史欠账的局面。在医疗保障上，量化生产力损失与支出风险，可将心理健康转化为“硬效益”，为扩大心理治疗报销范围、纳入慢病管理提供经济论证。在跨部门协同上，“躯体-心理共病”证据有助于推动卫健、人社、医保等部门共识，构建“预防－筛查－干预－保障”一体化机制。当前核心瓶颈在于缺乏宏观经济负担全口径数据：确诊费用可通过监测网络归集，但亚临床心理困扰负担受制于微观数据与方法学限制，其支出混杂于日常医疗消费中难以剥离。</w:t>
      </w:r>
    </w:p>
    <w:p w14:paraId="4F8DC63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研究旨在构建我国心理健康与精神卫生经济负担的全口径测算框架，通过宏观费用数据与微观调查数据的有机结合，全面评估已确诊精神障碍与亚临床心理困扰两类健康问题所致的疾病负担、直接医疗费用及间接社会经济影响，填补我国心理健康“隐性”经济负担的方法学空白，为优化卫生资源配置、完善医保支付政策及建立跨部门心理健康保障机制提供循证决策依据。</w:t>
      </w:r>
    </w:p>
    <w:p w14:paraId="0CF9D67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67A56CB1">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（一）精神障碍疾病负担与医疗费用测算</w:t>
      </w:r>
    </w:p>
    <w:p w14:paraId="5047BDD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利用GBD2023中国数据，聚焦抑郁症、精神分裂症等主要病种，核算DALY、YLL、YLD核心指标，分析疾病负担的时间演变趋势与人群分布特征。基于全国卫生总费用监测数据库，遵循SHA 2011核算框架，采用自上而下分摊法，依托监测网络样本医院费用占比，推算全国精神障碍门诊、住院医疗费用总量，剖析不同人群费用支出特征，研判居民家庭精神疾病医疗负担现状。</w:t>
      </w:r>
    </w:p>
    <w:p w14:paraId="6B4B688D">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（二）亚临床心理困扰经济负担精细化估算</w:t>
      </w:r>
    </w:p>
    <w:p w14:paraId="46F6DBF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bookmarkStart w:id="9" w:name="OLE_LINK3"/>
      <w:r>
        <w:rPr>
          <w:rFonts w:hint="eastAsia" w:ascii="Times New Roman" w:hAnsi="Times New Roman" w:eastAsia="仿宋_GB2312" w:cs="Times New Roman"/>
          <w:color w:val="000000" w:themeColor="text1"/>
          <w:sz w:val="32"/>
          <w:szCs w:val="32"/>
          <w14:textFill>
            <w14:solidFill>
              <w14:schemeClr w14:val="tx1"/>
            </w14:solidFill>
          </w14:textFill>
        </w:rPr>
        <w:t>利用CHARLS、CFPS微观个体调查数据，通过心理困扰指标划分研究组与参照组，采用倾向性评分匹配（PSM）开展1:1匹配，控制人口学特征、慢性病共病、医保状况等混杂因素。构建两部模型测算心理困扰带来的增量医疗费用</w:t>
      </w:r>
      <w:bookmarkEnd w:id="9"/>
      <w:r>
        <w:rPr>
          <w:rFonts w:hint="eastAsia" w:ascii="Times New Roman" w:hAnsi="Times New Roman" w:eastAsia="仿宋_GB2312" w:cs="Times New Roman"/>
          <w:color w:val="000000" w:themeColor="text1"/>
          <w:sz w:val="32"/>
          <w:szCs w:val="32"/>
          <w14:textFill>
            <w14:solidFill>
              <w14:schemeClr w14:val="tx1"/>
            </w14:solidFill>
          </w14:textFill>
        </w:rPr>
        <w:t>，同时将生产力损失分为因病缺勤、出勤效率下降两类，采用人力资本法结合DALY测算逻辑，量化核算人均及全国总体生产力经济损失，补齐隐性心理健康负担研究短板。</w:t>
      </w:r>
    </w:p>
    <w:p w14:paraId="076063A0">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（三）负担对比分析与政策优化建议</w:t>
      </w:r>
    </w:p>
    <w:p w14:paraId="17DAB80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对比分析确诊精神障碍与亚临床心理困扰的医疗费用、生产力损失差异，梳理不同人群、不同维度的精神卫生经济负担特征与突出问题。结合卫生服务供给、医保政策、劳动力市场等现实因素，总结负担形成的核心影响机制。基于全套实证测算结果，立足卫生资源配置、医保支付优化、心理健康防控等维度，形成科学可行的政策建议，为我国精神卫生治理体系完善提供循证支撑。</w:t>
      </w:r>
    </w:p>
    <w:p w14:paraId="3CD1F81F">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5E289D78">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6万元</w:t>
      </w:r>
    </w:p>
    <w:p w14:paraId="572DE72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17088AFF">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1.研究报告1份；</w:t>
      </w:r>
    </w:p>
    <w:p w14:paraId="3DC9205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2.论文或简报1篇。</w:t>
      </w:r>
    </w:p>
    <w:p w14:paraId="67EAA349">
      <w:pPr>
        <w:spacing w:line="600" w:lineRule="exact"/>
        <w:textAlignment w:val="center"/>
        <w:sectPr>
          <w:pgSz w:w="11906" w:h="16838"/>
          <w:pgMar w:top="1440" w:right="1800" w:bottom="1440" w:left="1800" w:header="851" w:footer="992" w:gutter="0"/>
          <w:cols w:space="425" w:num="1"/>
          <w:docGrid w:type="lines" w:linePitch="312" w:charSpace="0"/>
        </w:sectPr>
      </w:pPr>
    </w:p>
    <w:p w14:paraId="2F872720">
      <w:pPr>
        <w:pStyle w:val="2"/>
        <w:keepNext w:val="0"/>
        <w:keepLines w:val="0"/>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10" w:name="_Toc239925627"/>
      <w:r>
        <w:rPr>
          <w:rFonts w:hint="eastAsia" w:ascii="Times New Roman" w:hAnsi="Times New Roman" w:cs="Times New Roman"/>
          <w:color w:val="000000" w:themeColor="text1"/>
          <w:spacing w:val="-11"/>
          <w14:textFill>
            <w14:solidFill>
              <w14:schemeClr w14:val="tx1"/>
            </w14:solidFill>
          </w14:textFill>
        </w:rPr>
        <w:t>课题7</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重点精神治疗类医疗服务定价机制及医保支付策略研究</w:t>
      </w:r>
      <w:bookmarkEnd w:id="10"/>
    </w:p>
    <w:p w14:paraId="6EF4B6E9">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3D1A030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29F208A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精神卫生是关系国家经济社会发展的重大公共卫生问题和社会问题。《中华人民共和国精神卫生法》明确规定，精神卫生工作实行预防为主的方针，坚持预防、治疗和康复相结合的原则。《“健康中国2030”规划纲要》将精神卫生列为重点领域，提出加强精神卫生服务体系建设。《全国精神卫生工作规划（2021—2030年）》进一步明确了精神卫生服务能力建设的目标任务。中国精神卫生调查（CMHS）结果显示，我国成人精神障碍终生患病率为16.57%，12月患病率为9.32%，精神卫生服务需求持续增长。</w:t>
      </w:r>
    </w:p>
    <w:p w14:paraId="454350A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当前，我国精神医疗服务项目定价和支付政策仍面临诸多挑战。在定价方面，医疗服务价格改革持续推进，但精神医疗服务价格总体偏低，技术劳务价值未能充分体现，部分项目价格与成本存在偏离，影响精神卫生医疗机构的可持续运行和服务供给积极性。在支付方面，国家医保局持续推进医保支付方式改革，在CHS-DRG 3.0版分组方案中，精神疾病及功能障碍（MDCT）、酒精/药物使用及其引起的器质性精神功能障碍（MDCU）作为独立的主要诊断大类。但精神疾病具有病程长、反复发作、慢性期占比高等特点，急性期与慢性期分层支付机制有待完善，精神专科支付标准的科学性和精细化水平有待提升。国际上，美国Medicare对住院精神科机构实行按床日预付制且费率随住院天数递减，德国精神科实行按病例严重程度调整的递减式按日定额付费，均体现了对精神疾病特殊性的考量。</w:t>
      </w:r>
    </w:p>
    <w:p w14:paraId="4279E9E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总体目标是：系统梳理我国精神医疗服务价格和医保支付政策现状，分析存在的问题及成因；选取典型精神医疗服务项目开展价格现状调查和成本核算，选取典型病种开展医保支付标准调查和病种成本核算，评估价格与成本、支付标准与病种成本的匹配程度；借鉴国际经验，提出完善精神医疗服务项目定价机制和医保支付政策的优化建议，为深化医疗服务价格改革、推进医保支付方式改革、保障精神卫生医疗机构可持续运行提供决策参考。</w:t>
      </w:r>
    </w:p>
    <w:p w14:paraId="5A0F884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20EBF691">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（一）精神医疗服务项目定价现状研究。</w:t>
      </w:r>
      <w:r>
        <w:rPr>
          <w:rFonts w:hint="eastAsia" w:ascii="Times New Roman" w:hAnsi="Times New Roman" w:eastAsia="仿宋_GB2312" w:cs="Times New Roman"/>
          <w:color w:val="000000" w:themeColor="text1"/>
          <w:sz w:val="32"/>
          <w:szCs w:val="32"/>
          <w14:textFill>
            <w14:solidFill>
              <w14:schemeClr w14:val="tx1"/>
            </w14:solidFill>
          </w14:textFill>
        </w:rPr>
        <w:t>一是梳理国家及地方精神医疗服务价格政策的演变历程与现行框架，分析定价权限、定价方式、价格调整机制的现状及特征；二是选取心理治疗、心理咨询、精神康复治疗等具有代表性的精神科特色服务项目，开展多地区、多层级医疗机构的价格现状调查，掌握实际执行价格水平及地区差异；三是选择典型项目开展成本测算，评估价格与成本的匹配程度，剖析价格形成机制存在的问题。</w:t>
      </w:r>
    </w:p>
    <w:p w14:paraId="175EEC4C">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（二）精神医疗服务医保支付政策现状研究。</w:t>
      </w:r>
      <w:r>
        <w:rPr>
          <w:rFonts w:hint="eastAsia" w:ascii="Times New Roman" w:hAnsi="Times New Roman" w:eastAsia="仿宋_GB2312" w:cs="Times New Roman"/>
          <w:color w:val="000000" w:themeColor="text1"/>
          <w:sz w:val="32"/>
          <w:szCs w:val="32"/>
          <w14:textFill>
            <w14:solidFill>
              <w14:schemeClr w14:val="tx1"/>
            </w14:solidFill>
          </w14:textFill>
        </w:rPr>
        <w:t>一是梳理各地精神医疗服务医保支付方式现状，比较按床日付费、DRG/DIP付费、按病种付费等不同支付方式的适用范围、支付标准和实施效果；二是选取精神分裂症、抑郁症、孤独症等典型病种，调查不同地区急性期、慢性期、康复期的医保支付标准、报销比例和患者负担情况，分析支付标准的合理性；三是对典型病种开展住院成本核算，测算病种平均成本，评估支付标准与病种成本的匹配程度。</w:t>
      </w:r>
    </w:p>
    <w:p w14:paraId="2F9BEE5C">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（三）精神医疗服务项目定价和支付政策优化建议研究。</w:t>
      </w:r>
      <w:r>
        <w:rPr>
          <w:rFonts w:hint="eastAsia" w:ascii="Times New Roman" w:hAnsi="Times New Roman" w:eastAsia="仿宋_GB2312" w:cs="Times New Roman"/>
          <w:color w:val="000000" w:themeColor="text1"/>
          <w:sz w:val="32"/>
          <w:szCs w:val="32"/>
          <w14:textFill>
            <w14:solidFill>
              <w14:schemeClr w14:val="tx1"/>
            </w14:solidFill>
          </w14:textFill>
        </w:rPr>
        <w:t>在现状调查和成本核算的基础上，分析精神医疗服务项目定价和支付政策存在的问题，借鉴国际精神卫生服务定价和支付的经验，结合我国精神卫生服务体系实际，提出政策优化建议。</w:t>
      </w:r>
    </w:p>
    <w:p w14:paraId="0C141598">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798D1758">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6万元</w:t>
      </w:r>
    </w:p>
    <w:p w14:paraId="34C594D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1AEBB7FA">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1.研究总报告1份及政策内参，系统呈现研究背景、方法、主要发现和政策建议；</w:t>
      </w:r>
    </w:p>
    <w:p w14:paraId="5FFDAA51">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2.调研工具包1套，包括调查问卷、访谈提纲、成本核算模板等；</w:t>
      </w:r>
    </w:p>
    <w:p w14:paraId="217BBD9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3.学术论文1—2篇，在核心期刊发表相关研究成果。</w:t>
      </w:r>
    </w:p>
    <w:p w14:paraId="23262839">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11" w:name="_Toc239925628"/>
      <w:r>
        <w:rPr>
          <w:rFonts w:hint="eastAsia" w:ascii="Times New Roman" w:hAnsi="Times New Roman" w:cs="Times New Roman"/>
          <w:color w:val="000000" w:themeColor="text1"/>
          <w:spacing w:val="-11"/>
          <w14:textFill>
            <w14:solidFill>
              <w14:schemeClr w14:val="tx1"/>
            </w14:solidFill>
          </w14:textFill>
        </w:rPr>
        <w:t>课题8</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儿童青少年网络成瘾的早期识别与干预路径研究</w:t>
      </w:r>
      <w:bookmarkEnd w:id="11"/>
    </w:p>
    <w:p w14:paraId="09E1D3AC">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3782337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18FD4F1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网络成瘾已成为影响我国儿童青少年身心健康的突出公共卫生问题。国务院《未成年人网络保护条例》明确要求卫生健康、教育等部门指导开展未成年人沉迷网络所致精神障碍和心理行为问题的基础研究与筛查评估、诊断、预防、干预等应用研究；教育部《进一步加强中小学生心理健康工作十条措施》将网络沉迷列为影响中小学生心理健康的突出问题；国家卫生健康委将2025—2027年确定为“儿科和精神卫生服务年”，要求对重点人群有针对性普及心理健康知识。政策层面的持续部署凸显了该问题的紧迫性与治理需求。</w:t>
      </w:r>
    </w:p>
    <w:p w14:paraId="48D0370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研究表明，网络成瘾与青少年抑郁、焦虑、注意缺陷多动障碍等精神心理问题高度共病，相互交织、彼此加重，给个人成长、家庭关系和社会治理带来沉重负担。然而，当前基层学校与社区普遍缺乏标准化的网络成瘾早期识别工具，识别标准不一、预警滞后，分级干预路径不明确，专业力量介入与转介机制不畅，导致“发现难、评估难、干预难”问题突出，难以满足政策落地和一线实际需要。</w:t>
      </w:r>
    </w:p>
    <w:p w14:paraId="76DB727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围绕上述问题，拟实现两个核心目标：一是构建适用于基层学校与社区的儿童青少年网络成瘾早期识别指标体系，为一线人员提供科学、便捷、可操作的识别依据；二是探索形成以专业人员为主导、家庭—学校—专业机构协同的分级干预路径及其实施要点，推动网络成瘾防控关口前移、干预精准高效，为政策实施提供实践支撑与决策参考。</w:t>
      </w:r>
    </w:p>
    <w:p w14:paraId="5BC3FDA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08E7AECB">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（一）政策与文献系统梳理。</w:t>
      </w:r>
      <w:r>
        <w:rPr>
          <w:rFonts w:hint="eastAsia" w:ascii="Times New Roman" w:hAnsi="Times New Roman" w:eastAsia="仿宋_GB2312" w:cs="Times New Roman"/>
          <w:color w:val="000000" w:themeColor="text1"/>
          <w:sz w:val="32"/>
          <w:szCs w:val="32"/>
          <w14:textFill>
            <w14:solidFill>
              <w14:schemeClr w14:val="tx1"/>
            </w14:solidFill>
          </w14:textFill>
        </w:rPr>
        <w:t>系统梳理国内外儿童青少年网络成瘾相关政策法规、诊断标准（DSM-5、ICD-11）、筛查评估工具及干预研究成果，分析当前识别与干预的现状、缺口及可借鉴经验，形成文献综述，为指标体系构建与路径设计奠定理论基础。</w:t>
      </w:r>
    </w:p>
    <w:p w14:paraId="3B294629">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（二）网络成瘾早期识别指标体系构建。</w:t>
      </w:r>
      <w:r>
        <w:rPr>
          <w:rFonts w:hint="eastAsia" w:ascii="Times New Roman" w:hAnsi="Times New Roman" w:eastAsia="仿宋_GB2312" w:cs="Times New Roman"/>
          <w:color w:val="000000" w:themeColor="text1"/>
          <w:sz w:val="32"/>
          <w:szCs w:val="32"/>
          <w14:textFill>
            <w14:solidFill>
              <w14:schemeClr w14:val="tx1"/>
            </w14:solidFill>
          </w14:textFill>
        </w:rPr>
        <w:t>基于文献研究和专家咨询，筛选适用于基层学校与社区的儿童青少年网络成瘾风险因素与早期预警指标，涵盖每日上网时长、情绪波动、睡眠障碍、学业滑坡、社交退缩等维度，采用德尔菲法开展两轮专家函询，凝练指标并明确权重，形成指标体系初稿。</w:t>
      </w:r>
    </w:p>
    <w:p w14:paraId="39757760">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（三）典型案例与一线实践调研。</w:t>
      </w:r>
      <w:r>
        <w:rPr>
          <w:rFonts w:hint="eastAsia" w:ascii="Times New Roman" w:hAnsi="Times New Roman" w:eastAsia="仿宋_GB2312" w:cs="Times New Roman"/>
          <w:color w:val="000000" w:themeColor="text1"/>
          <w:sz w:val="32"/>
          <w:szCs w:val="32"/>
          <w14:textFill>
            <w14:solidFill>
              <w14:schemeClr w14:val="tx1"/>
            </w14:solidFill>
          </w14:textFill>
        </w:rPr>
        <w:t>选取3—5个地市的中小学校、心理健康服务中心或精神专科医院，开展案例收集与关键知情人半结构化访谈，访谈对象包括心理教师、精神科医师、家长和青少年，识别当前网络成瘾识别与干预中的关键决策环节和现实困境，提炼一线实践经验。</w:t>
      </w:r>
    </w:p>
    <w:p w14:paraId="6A71679A">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（四）分级干预路径设计。</w:t>
      </w:r>
      <w:r>
        <w:rPr>
          <w:rFonts w:hint="eastAsia" w:ascii="Times New Roman" w:hAnsi="Times New Roman" w:eastAsia="仿宋_GB2312" w:cs="Times New Roman"/>
          <w:color w:val="000000" w:themeColor="text1"/>
          <w:sz w:val="32"/>
          <w:szCs w:val="32"/>
          <w14:textFill>
            <w14:solidFill>
              <w14:schemeClr w14:val="tx1"/>
            </w14:solidFill>
          </w14:textFill>
        </w:rPr>
        <w:t>基于指标体系与调研结果，设计“风险识别—分级评估—分类干预”的分级干预路径框架，明确不同风险等级对应的干预策略，涵盖家庭教育指导、学校心理辅导、专业医疗转介等，明确各环节实施主体、流程衔接与转介标准，形成干预路径草案。</w:t>
      </w:r>
    </w:p>
    <w:p w14:paraId="1BA074F6">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（五）专家论证与方案修订。</w:t>
      </w:r>
      <w:r>
        <w:rPr>
          <w:rFonts w:hint="eastAsia" w:ascii="Times New Roman" w:hAnsi="Times New Roman" w:eastAsia="仿宋_GB2312" w:cs="Times New Roman"/>
          <w:color w:val="000000" w:themeColor="text1"/>
          <w:sz w:val="32"/>
          <w:szCs w:val="32"/>
          <w14:textFill>
            <w14:solidFill>
              <w14:schemeClr w14:val="tx1"/>
            </w14:solidFill>
          </w14:textFill>
        </w:rPr>
        <w:t>邀请儿童精神医学、发展心理学、教育心理学等领域专家5—7人，对识别指标体系和分级干预路径进行论证和修订，确保指标体系科学实用、干预路径切实可行，形成终版方案。</w:t>
      </w:r>
    </w:p>
    <w:p w14:paraId="75B3B810">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0AA92E95">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176CCBD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43D4DC6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1.形成《儿童青少年网络成瘾早期识别与干预路径研究报告》1份，系统呈现研究背景、主要发现与政策建议。</w:t>
      </w:r>
    </w:p>
    <w:p w14:paraId="581871C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2.形成《儿童青少年网络成瘾基层筛查与分级干预操作建议》1 份，为基层学校与社区提供可直接使用的筛查评估与分级干预工具。</w:t>
      </w:r>
    </w:p>
    <w:p w14:paraId="3CD28E2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3.围绕网络成瘾早期识别指标体系、分级干预路径等方向，形成学术论文1篇。</w:t>
      </w:r>
    </w:p>
    <w:p w14:paraId="74A44F59">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12" w:name="_Toc239925629"/>
      <w:r>
        <w:rPr>
          <w:rFonts w:hint="eastAsia" w:ascii="Times New Roman" w:hAnsi="Times New Roman" w:cs="Times New Roman"/>
          <w:color w:val="000000" w:themeColor="text1"/>
          <w:spacing w:val="-11"/>
          <w14:textFill>
            <w14:solidFill>
              <w14:schemeClr w14:val="tx1"/>
            </w14:solidFill>
          </w14:textFill>
        </w:rPr>
        <w:t>课题9</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精神障碍患者社区康复分级分类管理研究</w:t>
      </w:r>
      <w:bookmarkEnd w:id="12"/>
    </w:p>
    <w:p w14:paraId="5E84F9B9">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2E6D19BB">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2A80E78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中华人民共和国精神卫生法》明确要求做好精神障碍患者社区康复服务，国家“精康融合行动”进一步对健全社区康复体系、提升服务质量作出系统部署，推动医疗、康复、社区管理多方协同，打通精神障碍患者从医院治疗回归社区生活的关键环节。近年来，全国各地持续加大精神障碍社区康复服务供给，各类社区康复站点逐步落地，服务覆盖面持续扩大，越来越多出院后的精神障碍患者能够就近获取康复支持。2018年版《严重精神障碍管理治疗工作规范》建立了危险性6级评估体系，并针对不同风险等级明确了随访管理要求。但该体系重点聚焦肇事肇祸风险管控，并未配套社区康复维度的分级分类干预标准。从全国整体运行情况来看，目前尚未形成统一的精神障碍患者社区康复分级分类服务标准，缺少全国通用的评估标尺与干预指引。基层普遍存在评估工具不统一、分级尺度把握不一、干预方案同质化等突出问题，难以根据患者病情风险、社会功能状态、个体康复需求提供精准差异化服务，直接导致康复资源配置与实际服务需求错配：部分高风险患者得不到足够的随访、干预与监护支持，病情波动和复发风险得不到有效管控，给个人、家庭和社会带来潜在安全隐患；而部分病情稳定、康复状况较好的患者却接受了不必要的过度服务，有限的康复人力、场地、经费被无谓消耗，造成公共康复资源浪费。与此同时，评估－干预－转介的全流程闭环管理机制尚不健全，部分地区医疗救治、社区康复、严重精神障碍综合管理之间信息不通、衔接不畅，患者出院对接、病情变化转介、康复效果跟踪等关键环节存在断点，难以形成连续不间断的服务链条，既不利于患者社会功能的持续恢复，也阻碍他们平稳回归家庭、重返社会。因此，开展精神障碍患者社区康复分级分类规范化管理研究，是破解当前基层精康服务现实痛点、落实精康融合行动工作要求的迫切现实需要。</w:t>
      </w:r>
    </w:p>
    <w:p w14:paraId="2E3E587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立足国内基层精神卫生与社区康复工作实际，充分考虑不同地区经济水平、机构能力、人员队伍的现实差异，聚焦分级评估不规范、分类干预不精准、全流程管理机制不完善等核心短板，通过系统政策梳理、多维度实地调研、管理体系构建、小范围试点实践等研究路径，着力研究形成一套科学可行、贴合基层实操条件的精神障碍患者社区康复分级分类管理模式。进一步厘清分级评估指标、分类干预内容、跨机构转介衔接的完整工作流程，明确不同风险等级患者对应的服务强度、管理频次与责任主体，推动社区精神障碍康复服务从粗放式普惠供给向精细化、规范化转型，切实提升社区康复服务的针对性与实际成效，减少病情复发，改善患者社会功能，助力更多精神障碍患者平稳回归家庭与社会。</w:t>
      </w:r>
    </w:p>
    <w:p w14:paraId="28D5B3B0">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295B3F9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本课题将按照“政策梳理—现状调研—体系构建—试点验证—优化落地”的技术路线推进实施。</w:t>
      </w:r>
    </w:p>
    <w:p w14:paraId="2CA2E609">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一是开展政策与行业现状梳理分析。</w:t>
      </w:r>
      <w:r>
        <w:rPr>
          <w:rFonts w:hint="eastAsia" w:ascii="Times New Roman" w:hAnsi="Times New Roman" w:eastAsia="仿宋_GB2312" w:cs="Times New Roman"/>
          <w:color w:val="000000" w:themeColor="text1"/>
          <w:sz w:val="32"/>
          <w:szCs w:val="32"/>
          <w14:textFill>
            <w14:solidFill>
              <w14:schemeClr w14:val="tx1"/>
            </w14:solidFill>
          </w14:textFill>
        </w:rPr>
        <w:t>系统梳理国家及各省市关于精神障碍社区康复、分级管理的相关法律法规与政策文件，全面汇总国内各地区精康融合试点的实践经验与现存突出问题，整理现有康复评估量表与风险分级工具，最终形成政策台账与现状问题清单，本部分工作由课题承担单位自主完成。</w:t>
      </w:r>
    </w:p>
    <w:p w14:paraId="005FB5E0">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二是开展基层现状调研与数据采集。</w:t>
      </w:r>
      <w:r>
        <w:rPr>
          <w:rFonts w:hint="eastAsia" w:ascii="Times New Roman" w:hAnsi="Times New Roman" w:eastAsia="仿宋_GB2312" w:cs="Times New Roman"/>
          <w:color w:val="000000" w:themeColor="text1"/>
          <w:sz w:val="32"/>
          <w:szCs w:val="32"/>
          <w14:textFill>
            <w14:solidFill>
              <w14:schemeClr w14:val="tx1"/>
            </w14:solidFill>
          </w14:textFill>
        </w:rPr>
        <w:t>面向社区精神康复工作人员、精神障碍患者及其家属开展问卷调查与半结构化访谈，采集患者病情风险等级、社会功能水平、康复现实需求、现有康复服务落地执行情况等核心信息，深入剖析同质化康复服务与分级管理执行过程中存在的现实漏洞；严格遵循样本遴选规范，落实受试者信息脱敏保护要求，保障调研符合伦理规范，其中入户访谈、现场数据采集等环节可委托外部合作单位承担。</w:t>
      </w:r>
    </w:p>
    <w:p w14:paraId="72D0F43D">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三是构建分级分类管理体系。</w:t>
      </w:r>
      <w:r>
        <w:rPr>
          <w:rFonts w:hint="eastAsia" w:ascii="Times New Roman" w:hAnsi="Times New Roman" w:eastAsia="仿宋_GB2312" w:cs="Times New Roman"/>
          <w:color w:val="000000" w:themeColor="text1"/>
          <w:sz w:val="32"/>
          <w:szCs w:val="32"/>
          <w14:textFill>
            <w14:solidFill>
              <w14:schemeClr w14:val="tx1"/>
            </w14:solidFill>
          </w14:textFill>
        </w:rPr>
        <w:t>综合研判患者肇事肇祸风险、社会适应能力与个性化康复需求，建立三级分级标准与分类干预模型，明确不同层级对象对应的康复服务项目、随访管理频次、双向转介处置流程，以及医疗、社区、家庭各方的责任分工，体系设计充分适配现行基层精防服务架构，本部分由课题承担单位自主完成。</w:t>
      </w:r>
    </w:p>
    <w:p w14:paraId="5536CC4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四是开展管理方案试点应用与效果评估。</w:t>
      </w:r>
      <w:r>
        <w:rPr>
          <w:rFonts w:hint="eastAsia" w:ascii="Times New Roman" w:hAnsi="Times New Roman" w:eastAsia="仿宋_GB2312" w:cs="Times New Roman"/>
          <w:color w:val="000000" w:themeColor="text1"/>
          <w:sz w:val="32"/>
          <w:szCs w:val="32"/>
          <w14:textFill>
            <w14:solidFill>
              <w14:schemeClr w14:val="tx1"/>
            </w14:solidFill>
          </w14:textFill>
        </w:rPr>
        <w:t>遴选具有代表性的试点社区落地试行分级分类管理方案，开展周期性康复干预，对比分析患者服药依从性、病情复发率、社会功能恢复状况等核心指标，梳理方案在基层落地过程中存在的堵点难点，实现全过程动态记录、闭环管控、多维度数据对比分析；试点实施、随访评估工作可委托外部单位承担。</w:t>
      </w:r>
    </w:p>
    <w:p w14:paraId="3246F13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五是完成方案优化与政策建议撰写。</w:t>
      </w:r>
      <w:r>
        <w:rPr>
          <w:rFonts w:hint="eastAsia" w:ascii="Times New Roman" w:hAnsi="Times New Roman" w:eastAsia="仿宋_GB2312" w:cs="Times New Roman"/>
          <w:color w:val="000000" w:themeColor="text1"/>
          <w:sz w:val="32"/>
          <w:szCs w:val="32"/>
          <w14:textFill>
            <w14:solidFill>
              <w14:schemeClr w14:val="tx1"/>
            </w14:solidFill>
          </w14:textFill>
        </w:rPr>
        <w:t>结合试点实践反馈迭代优化分级标准、服务流程与管理机制，形成适配全国基层使用的标准化管理规范，提出可复制推广的政策落地建议，兼顾专业科学性与基层实操性，本部分工作由课题承担单位自主完成。</w:t>
      </w:r>
    </w:p>
    <w:p w14:paraId="669FD03F">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1C04ECD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03FF83F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7C75B47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完成《精神障碍患者社区康复分级分类规范化管理研究报告》1份，系统梳理政策调研成果与试点实践经验，完整呈现分级分类管理模式、具体实施路径与配套对策建议，为社区精神障碍康复规范化建设提供专业研究支撑。</w:t>
      </w:r>
    </w:p>
    <w:p w14:paraId="4A98A24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2.编写《精神障碍社区康复分级分类管理规范》，面向一线精神障碍康复从业人员，明确评估工具、分级标准、干预措施与转介流程，内容突出实操性，可供基层从业人员直接参考使用。</w:t>
      </w:r>
    </w:p>
    <w:p w14:paraId="5C974DFF">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3.产出学术论文或政策研报1篇。</w:t>
      </w:r>
    </w:p>
    <w:p w14:paraId="33980A4D">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13" w:name="_Toc239925630"/>
      <w:r>
        <w:rPr>
          <w:rFonts w:hint="eastAsia" w:ascii="Times New Roman" w:hAnsi="Times New Roman" w:cs="Times New Roman"/>
          <w:color w:val="000000" w:themeColor="text1"/>
          <w:spacing w:val="-11"/>
          <w14:textFill>
            <w14:solidFill>
              <w14:schemeClr w14:val="tx1"/>
            </w14:solidFill>
          </w14:textFill>
        </w:rPr>
        <w:t>课题10</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精神障碍康复人群长期养护一体化服务体系建设研究</w:t>
      </w:r>
      <w:bookmarkEnd w:id="13"/>
    </w:p>
    <w:p w14:paraId="6ACFFD91">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483F9C7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4B622D3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精神卫生既是重大公共卫生问题，也是重要社会问题。</w:t>
      </w:r>
      <w:bookmarkStart w:id="14" w:name="OLE_LINK4"/>
      <w:r>
        <w:rPr>
          <w:rFonts w:hint="eastAsia" w:ascii="Times New Roman" w:hAnsi="Times New Roman" w:eastAsia="仿宋_GB2312" w:cs="Times New Roman"/>
          <w:color w:val="000000" w:themeColor="text1"/>
          <w:sz w:val="32"/>
          <w:szCs w:val="32"/>
          <w14:textFill>
            <w14:solidFill>
              <w14:schemeClr w14:val="tx1"/>
            </w14:solidFill>
          </w14:textFill>
        </w:rPr>
        <w:t>当前我国精神障碍急性期后康复</w:t>
      </w:r>
      <w:bookmarkEnd w:id="14"/>
      <w:r>
        <w:rPr>
          <w:rFonts w:hint="eastAsia" w:ascii="Times New Roman" w:hAnsi="Times New Roman" w:eastAsia="仿宋_GB2312" w:cs="Times New Roman"/>
          <w:color w:val="000000" w:themeColor="text1"/>
          <w:sz w:val="32"/>
          <w:szCs w:val="32"/>
          <w14:textFill>
            <w14:solidFill>
              <w14:schemeClr w14:val="tx1"/>
            </w14:solidFill>
          </w14:textFill>
        </w:rPr>
        <w:t>、慢性稳定期康复和失能患者长期照护供给存在明显短板：医疗机构康复职能弱化，急性期救治、恢复期康复、稳定期养护、失能期照护各环节衔接不畅；区县和社区康复养护资源不足，居家康复与家庭病床护理缺少统一标准；卫健、民政、医保等多部门支付保障机制相互割裂，患者全周期康复养护需求难以得到满足。人口老龄化加深使家庭照护负担沉重，“一人失能、全家失衡”问题突出，患者长期康复养护需求量大面广，涉及医疗、康复、护理、照料与社会支持等多个环节，单一机构、单一部门无法独立承担，必须依靠体系建设整体回应。对标国家康复护理扩容提升工程和民政部等四部门“精康融合行动”部署，亟须构建分层分级、医养康护衔接的长期养护一体化服务体系。</w:t>
      </w:r>
    </w:p>
    <w:p w14:paraId="106D625D">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围绕“精神障碍康复人群长期养护一体化服务体系建设”展开系统研究。按东、中、西三大区域，拟选取上海、湖南、四川3个典型省份，分层调研省级、市级、区县医疗机构、社区卫生中心和家庭病床的康复养护服务现状，面向急性期后、慢性稳定期、重度失能三类患者开展面上需求调查和典型案例挖掘，总结可复制、可推广的典型经验。在系统梳理国内外长期精神康复和延续性护理的成熟模式基础上，划分各级机构与社区、居家养护的职能边界，区分三类人群的养护需求差异，探索“机构—社区—居家”一体化的康复与长期照护实施路径和服务模式，提出东、中、西部差异化落地政策建议，为健全精神障碍康复人群长期养护服务体系、促进精康患者回归和融入社会提供决策参考。</w:t>
      </w:r>
    </w:p>
    <w:p w14:paraId="4F6332E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2BA556DC">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（1）分层进行面上调查与典型经验挖掘。</w:t>
      </w:r>
      <w:r>
        <w:rPr>
          <w:rFonts w:hint="eastAsia" w:ascii="Times New Roman" w:hAnsi="Times New Roman" w:eastAsia="仿宋_GB2312" w:cs="Times New Roman"/>
          <w:color w:val="000000" w:themeColor="text1"/>
          <w:sz w:val="32"/>
          <w:szCs w:val="32"/>
          <w14:textFill>
            <w14:solidFill>
              <w14:schemeClr w14:val="tx1"/>
            </w14:solidFill>
          </w14:textFill>
        </w:rPr>
        <w:t>按东、中、西三大区域选取上海市、湖南省、四川省为典型省份，在省级、市级、区县精神卫生医疗机构、社区卫生服务中心（站）、精神障碍社区康复机构和家庭病床各层级开展面上调查，面向急性后期、慢性稳定期、重度失能三类患者及其家庭，按全周期连续性思路设计需求调研，摸清康复与长期养护需求。深入挖掘三地运行良好、成效明显的典型经验和典型案例，分析其主要做法、服务内容和运行机制，提炼可供其他地区借鉴的实施路径和服务模式。</w:t>
      </w:r>
    </w:p>
    <w:p w14:paraId="01020892">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（2）模式梳理与职能边界划分。</w:t>
      </w:r>
      <w:r>
        <w:rPr>
          <w:rFonts w:hint="eastAsia" w:ascii="Times New Roman" w:hAnsi="Times New Roman" w:eastAsia="仿宋_GB2312" w:cs="Times New Roman"/>
          <w:color w:val="000000" w:themeColor="text1"/>
          <w:sz w:val="32"/>
          <w:szCs w:val="32"/>
          <w14:textFill>
            <w14:solidFill>
              <w14:schemeClr w14:val="tx1"/>
            </w14:solidFill>
          </w14:textFill>
        </w:rPr>
        <w:t>梳理国内外长期精神康复、延续性护理和长期照护成熟模式，结合调研结果明确省、市、区县医疗机构与社区、居家养护机构的职能定位和转介衔接机制，构建“急性期治疗—恢复期康复—稳定期养护—失能期照护”全链条一体化体系框架。</w:t>
      </w:r>
    </w:p>
    <w:p w14:paraId="460F89ED">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（3）养护需求分层。</w:t>
      </w:r>
      <w:r>
        <w:rPr>
          <w:rFonts w:hint="eastAsia" w:ascii="Times New Roman" w:hAnsi="Times New Roman" w:eastAsia="仿宋_GB2312" w:cs="Times New Roman"/>
          <w:color w:val="000000" w:themeColor="text1"/>
          <w:sz w:val="32"/>
          <w:szCs w:val="32"/>
          <w14:textFill>
            <w14:solidFill>
              <w14:schemeClr w14:val="tx1"/>
            </w14:solidFill>
          </w14:textFill>
        </w:rPr>
        <w:t>区分急性期后、慢性稳定、重度失能三类人群在医疗、康复、护理、照护、社会参与等方面的需求差异，形成分类识别、评估转介、分级养护方案。</w:t>
      </w:r>
    </w:p>
    <w:p w14:paraId="5D2B2E7A">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（4）协同支付模式构建。</w:t>
      </w:r>
      <w:r>
        <w:rPr>
          <w:rFonts w:hint="eastAsia" w:ascii="Times New Roman" w:hAnsi="Times New Roman" w:eastAsia="仿宋_GB2312" w:cs="Times New Roman"/>
          <w:color w:val="000000" w:themeColor="text1"/>
          <w:sz w:val="32"/>
          <w:szCs w:val="32"/>
          <w14:textFill>
            <w14:solidFill>
              <w14:schemeClr w14:val="tx1"/>
            </w14:solidFill>
          </w14:textFill>
        </w:rPr>
        <w:t>探索建立卫健、民政、医保联动的支付机制，覆盖上门护理、居家康复病床和长期照护，探索“医疗—康复—养护—保障”多部门协同与费用分担路径。</w:t>
      </w:r>
    </w:p>
    <w:p w14:paraId="5CA2DA68">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6EA1AAAF">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4B1DF2C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56F7E28F">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 产出《精神障碍康复人群长期养护一体化服务体系建设研究》报告一份；</w:t>
      </w:r>
    </w:p>
    <w:p w14:paraId="7EBB641C">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2.发表相关论文1篇。</w:t>
      </w:r>
    </w:p>
    <w:p w14:paraId="75FC700B">
      <w:pPr>
        <w:pStyle w:val="2"/>
        <w:keepNext w:val="0"/>
        <w:keepLines w:val="0"/>
        <w:pageBreakBefore/>
        <w:snapToGrid/>
        <w:spacing w:line="600" w:lineRule="exact"/>
        <w:textAlignment w:val="center"/>
        <w:rPr>
          <w:rFonts w:ascii="Times New Roman" w:hAnsi="Times New Roman" w:cs="Times New Roman"/>
          <w:color w:val="000000" w:themeColor="text1"/>
          <w:spacing w:val="-11"/>
          <w14:textFill>
            <w14:solidFill>
              <w14:schemeClr w14:val="tx1"/>
            </w14:solidFill>
          </w14:textFill>
        </w:rPr>
      </w:pPr>
      <w:bookmarkStart w:id="15" w:name="_Toc239925631"/>
      <w:r>
        <w:rPr>
          <w:rFonts w:hint="eastAsia" w:ascii="Times New Roman" w:hAnsi="Times New Roman" w:cs="Times New Roman"/>
          <w:color w:val="000000" w:themeColor="text1"/>
          <w:spacing w:val="-11"/>
          <w14:textFill>
            <w14:solidFill>
              <w14:schemeClr w14:val="tx1"/>
            </w14:solidFill>
          </w14:textFill>
        </w:rPr>
        <w:t>课题11</w:t>
      </w:r>
      <w:r>
        <w:rPr>
          <w:rFonts w:ascii="Times New Roman" w:hAnsi="Times New Roman" w:cs="Times New Roman"/>
          <w:color w:val="000000" w:themeColor="text1"/>
          <w:spacing w:val="-11"/>
          <w14:textFill>
            <w14:solidFill>
              <w14:schemeClr w14:val="tx1"/>
            </w14:solidFill>
          </w14:textFill>
        </w:rPr>
        <w:t xml:space="preserve"> </w:t>
      </w:r>
      <w:r>
        <w:rPr>
          <w:rFonts w:hint="eastAsia" w:ascii="Times New Roman" w:hAnsi="Times New Roman" w:cs="Times New Roman"/>
          <w:color w:val="000000" w:themeColor="text1"/>
          <w:spacing w:val="-11"/>
          <w14:textFill>
            <w14:solidFill>
              <w14:schemeClr w14:val="tx1"/>
            </w14:solidFill>
          </w14:textFill>
        </w:rPr>
        <w:t>社区心理咨询室评价指标体系与运行规范研究</w:t>
      </w:r>
      <w:bookmarkEnd w:id="15"/>
    </w:p>
    <w:p w14:paraId="70634929">
      <w:pPr>
        <w:spacing w:line="600" w:lineRule="exact"/>
        <w:textAlignment w:val="center"/>
        <w:rPr>
          <w:rFonts w:ascii="Times New Roman" w:hAnsi="Times New Roman" w:eastAsia="仿宋_GB2312" w:cs="Times New Roman"/>
          <w:color w:val="000000" w:themeColor="text1"/>
          <w:sz w:val="32"/>
          <w:szCs w:val="32"/>
          <w14:textFill>
            <w14:solidFill>
              <w14:schemeClr w14:val="tx1"/>
            </w14:solidFill>
          </w14:textFill>
        </w:rPr>
      </w:pPr>
    </w:p>
    <w:p w14:paraId="2BFA8AC7">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一、背景与目标</w:t>
      </w:r>
    </w:p>
    <w:p w14:paraId="45AAC8E3">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心理健康是影响社会和谐稳定与公共治理的重要因素。2018年全国社会心理服务体系建设试点启动以来，社区心理咨询室逐步成为开展心理疏导、风险识别和资源转介的重要载体。2026年3月，国家卫生健康委等25部门印发《健全社会心理服务体系和危机干预机制实施方案》，明确提出到2030年80%以上的行政村和社区设置心理咨询室或社会工作室并提供心理服务。当前，我国基层心理服务阵地覆盖已初具规模，工作重心正全面转向规范运行、质量评价和效能发挥。</w:t>
      </w:r>
    </w:p>
    <w:p w14:paraId="43E9891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从当前实践看，不同地区社区心理咨询室的运行水平参差不齐。部分站点存在专业服务能力不足、服务流程不规范、数字化赋能滞后等问题；心理服务人员、社工及网格员间的协作机制不够清晰，服务分流与风险转介存在隐患。现有政策多为框架性要求，对基层站点“按照什么流程运行、如何评价服务成效、发现问题如何改进”缺乏细化规定，基层亟须一套贯通运行、评价和改进的标准化工具。</w:t>
      </w:r>
    </w:p>
    <w:p w14:paraId="713C8B38">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课题旨在以社区心理咨询室为基本单元，研究建立运行流程与质量评价相衔接的评价指标体系和运行规范。通过明确人员能力、服务内容、工作流程、心社协同、风险转介和质量管理等要求，特别关注“一老一小”等重点人群的服务覆盖，以及居民心理健康获得感的提升。最终形成兼顾全国基本要求和地区差异、可用于日常管理和持续改进的标准化工具，为提升基层心理服务规范化水平、推动高质量发展提供科学依据。</w:t>
      </w:r>
    </w:p>
    <w:p w14:paraId="3AB5E412">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二、工作任务</w:t>
      </w:r>
    </w:p>
    <w:p w14:paraId="6EFB62C6">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课题承担单位应围绕社区心理咨询室规范运行和质量评价需要，重点完成以下任务：</w:t>
      </w:r>
    </w:p>
    <w:p w14:paraId="3D0936C6">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1.梳理运行管理与评价的政策标准依据。</w:t>
      </w:r>
      <w:r>
        <w:rPr>
          <w:rFonts w:hint="eastAsia" w:ascii="Times New Roman" w:hAnsi="Times New Roman" w:eastAsia="仿宋_GB2312" w:cs="Times New Roman"/>
          <w:color w:val="000000" w:themeColor="text1"/>
          <w:sz w:val="32"/>
          <w:szCs w:val="32"/>
          <w14:textFill>
            <w14:solidFill>
              <w14:schemeClr w14:val="tx1"/>
            </w14:solidFill>
          </w14:textFill>
        </w:rPr>
        <w:t>系统梳理国家及地方关于社会心理服务、基层治理的政策文件与实践规范，参考国内外社区心理服务经验，归纳人员配置、专业能力、服务流程、风险转介、资源协同和质量管理等方面的运行要求，形成政策标准比较结果和评价指标初步框架。</w:t>
      </w:r>
    </w:p>
    <w:p w14:paraId="258712B0">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2.开展社区心理咨询室运行现状多维调研。</w:t>
      </w:r>
      <w:r>
        <w:rPr>
          <w:rFonts w:hint="eastAsia" w:ascii="Times New Roman" w:hAnsi="Times New Roman" w:eastAsia="仿宋_GB2312" w:cs="Times New Roman"/>
          <w:color w:val="000000" w:themeColor="text1"/>
          <w:sz w:val="32"/>
          <w:szCs w:val="32"/>
          <w14:textFill>
            <w14:solidFill>
              <w14:schemeClr w14:val="tx1"/>
            </w14:solidFill>
          </w14:textFill>
        </w:rPr>
        <w:t>选择东、中、西部3—5个典型城市开展调研。不仅考察站点台账，更要对多方利益相关者（心理咨询师、社工、社区干部、网格员及社区居民）进行访谈。全面掌握服务开展、心社协作、风险识别、数字化应用及居民满意度等实际情况，分析运行中的痛点与典型做法，为指标和规范制定提供实证依据。</w:t>
      </w:r>
    </w:p>
    <w:p w14:paraId="49E4ABB9">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3.建立社区心理咨询室评价指标体系。</w:t>
      </w:r>
      <w:r>
        <w:rPr>
          <w:rFonts w:hint="eastAsia" w:ascii="Times New Roman" w:hAnsi="Times New Roman" w:eastAsia="仿宋_GB2312" w:cs="Times New Roman"/>
          <w:color w:val="000000" w:themeColor="text1"/>
          <w:sz w:val="32"/>
          <w:szCs w:val="32"/>
          <w14:textFill>
            <w14:solidFill>
              <w14:schemeClr w14:val="tx1"/>
            </w14:solidFill>
          </w14:textFill>
        </w:rPr>
        <w:t>科学设置评价维度和指标条目，重点涵盖人员配置与专业能力、服务内容与流程规范、心社协同与资源链接、质量管理与信息化等内容。在过程性指标外，强化“服务成效与居民满意度”等结果性指标。兼顾基本运行要求和发展提升要求，增强指标的科学性、可操作性和地区适用性，避免“重留痕、轻实效”。</w:t>
      </w:r>
    </w:p>
    <w:p w14:paraId="649CC47A">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4.制定社区心理咨询室运行规范。</w:t>
      </w:r>
      <w:r>
        <w:rPr>
          <w:rFonts w:hint="eastAsia" w:ascii="Times New Roman" w:hAnsi="Times New Roman" w:eastAsia="仿宋_GB2312" w:cs="Times New Roman"/>
          <w:color w:val="000000" w:themeColor="text1"/>
          <w:sz w:val="32"/>
          <w:szCs w:val="32"/>
          <w14:textFill>
            <w14:solidFill>
              <w14:schemeClr w14:val="tx1"/>
            </w14:solidFill>
          </w14:textFill>
        </w:rPr>
        <w:t>围绕服务受理、初筛评估、服务分流、心理支持、风险识别与转介、随访结案等环节，明确岗位职责与服务边界。重点规范心社协作、与社区网格化管理的融合联动、医疗转介及12356热线衔接。细化知情同意、隐私保护及保密例外与伦理突破规范（如危机事件的合法合规上报），建立运行规范与评价指标的对应关系。</w:t>
      </w:r>
    </w:p>
    <w:p w14:paraId="6D2A6837">
      <w:pPr>
        <w:spacing w:line="600" w:lineRule="exact"/>
        <w:ind w:firstLine="643"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5.开展评价工具试用和专家论证。</w:t>
      </w:r>
      <w:r>
        <w:rPr>
          <w:rFonts w:hint="eastAsia" w:ascii="Times New Roman" w:hAnsi="Times New Roman" w:eastAsia="仿宋_GB2312" w:cs="Times New Roman"/>
          <w:color w:val="000000" w:themeColor="text1"/>
          <w:sz w:val="32"/>
          <w:szCs w:val="32"/>
          <w14:textFill>
            <w14:solidFill>
              <w14:schemeClr w14:val="tx1"/>
            </w14:solidFill>
          </w14:textFill>
        </w:rPr>
        <w:t>选择不同类型基层站点对评价指标和运行规范进行试用，重点检验指标设置、评分规则的科学性，以及运行要求的可执行性。同时评估指标体系的“减负效应”，确保不增加基层额外行政负担。根据反馈和专家意见修改完善，形成最终成果。</w:t>
      </w:r>
    </w:p>
    <w:p w14:paraId="0EECF567">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三、课题经费</w:t>
      </w:r>
    </w:p>
    <w:p w14:paraId="338F27CB">
      <w:pPr>
        <w:spacing w:line="600" w:lineRule="exact"/>
        <w:ind w:firstLine="640" w:firstLineChars="200"/>
        <w:textAlignment w:val="center"/>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5万元</w:t>
      </w:r>
    </w:p>
    <w:p w14:paraId="15F65324">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四、预期产出</w:t>
      </w:r>
    </w:p>
    <w:p w14:paraId="25E04EF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1.形成《我国社区心理咨询室运行现状与标准化评价路径研究报告》1份。</w:t>
      </w:r>
    </w:p>
    <w:p w14:paraId="2943219E">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2.形成《全国社区心理咨询室运行与评价指南（草案）》1份（含评价指标体系、权重及评分说明、运行规范），并附配套实用工具包。</w:t>
      </w:r>
    </w:p>
    <w:p w14:paraId="0F6D7ED9">
      <w:pPr>
        <w:spacing w:line="600" w:lineRule="exact"/>
        <w:ind w:firstLine="640" w:firstLineChars="200"/>
        <w:textAlignment w:val="center"/>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3.形成关于“破解基层心理服务‘心社医’协同壁垒与提质增效”的政策简报1篇，为国家和地方相关政策及标准制定提供参考。</w:t>
      </w:r>
    </w:p>
    <w:sectPr>
      <w:pgSz w:w="11906" w:h="16838"/>
      <w:pgMar w:top="1440" w:right="1800" w:bottom="47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0FC5">
    <w:pPr>
      <w:pStyle w:val="7"/>
    </w:pPr>
    <w:r>
      <mc:AlternateContent>
        <mc:Choice Requires="wps">
          <w:drawing>
            <wp:anchor distT="0" distB="0" distL="114300" distR="114300" simplePos="0" relativeHeight="251659264" behindDoc="0" locked="0" layoutInCell="1" allowOverlap="1">
              <wp:simplePos x="0" y="0"/>
              <wp:positionH relativeFrom="margin">
                <wp:posOffset>2604770</wp:posOffset>
              </wp:positionH>
              <wp:positionV relativeFrom="paragraph">
                <wp:posOffset>2540</wp:posOffset>
              </wp:positionV>
              <wp:extent cx="172085" cy="167005"/>
              <wp:effectExtent l="0" t="0" r="0" b="5080"/>
              <wp:wrapNone/>
              <wp:docPr id="2" name="文本框 2"/>
              <wp:cNvGraphicFramePr/>
              <a:graphic xmlns:a="http://schemas.openxmlformats.org/drawingml/2006/main">
                <a:graphicData uri="http://schemas.microsoft.com/office/word/2010/wordprocessingShape">
                  <wps:wsp>
                    <wps:cNvSpPr txBox="1"/>
                    <wps:spPr>
                      <a:xfrm>
                        <a:off x="0" y="0"/>
                        <a:ext cx="171768" cy="1666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2916D">
                          <w:pPr>
                            <w:pStyle w:val="7"/>
                            <w:jc w:val="center"/>
                            <w:rPr>
                              <w:rFonts w:ascii="Times New Roman" w:hAnsi="Times New Roman" w:cs="Times New Roman"/>
                              <w:szCs w:val="18"/>
                            </w:rPr>
                          </w:pPr>
                          <w:r>
                            <w:rPr>
                              <w:rFonts w:ascii="Times New Roman" w:hAnsi="Times New Roman" w:cs="Times New Roman"/>
                              <w:szCs w:val="18"/>
                            </w:rPr>
                            <w:fldChar w:fldCharType="begin"/>
                          </w:r>
                          <w:r>
                            <w:rPr>
                              <w:rFonts w:ascii="Times New Roman" w:hAnsi="Times New Roman" w:cs="Times New Roman"/>
                              <w:szCs w:val="18"/>
                            </w:rPr>
                            <w:instrText xml:space="preserve"> PAGE  \* MERGEFORMAT </w:instrText>
                          </w:r>
                          <w:r>
                            <w:rPr>
                              <w:rFonts w:ascii="Times New Roman" w:hAnsi="Times New Roman" w:cs="Times New Roman"/>
                              <w:szCs w:val="18"/>
                            </w:rPr>
                            <w:fldChar w:fldCharType="separate"/>
                          </w:r>
                          <w:r>
                            <w:rPr>
                              <w:rFonts w:ascii="Times New Roman" w:hAnsi="Times New Roman" w:cs="Times New Roman"/>
                              <w:szCs w:val="18"/>
                            </w:rPr>
                            <w:t>2</w:t>
                          </w:r>
                          <w:r>
                            <w:rPr>
                              <w:rFonts w:ascii="Times New Roman" w:hAnsi="Times New Roman" w:cs="Times New Roman"/>
                              <w:szCs w:val="1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5.1pt;margin-top:0.2pt;height:13.15pt;width:13.55pt;mso-position-horizontal-relative:margin;z-index:251659264;mso-width-relative:page;mso-height-relative:page;" filled="f" stroked="f" coordsize="21600,21600" o:gfxdata="UEsDBAoAAAAAAIdO4kAAAAAAAAAAAAAAAAAEAAAAZHJzL1BLAwQUAAAACACHTuJAlErTptYAAAAH&#10;AQAADwAAAGRycy9kb3ducmV2LnhtbE2OS0/DMBCE70j8B2uRuFE7adWiEKcHHjcepYAENydZkgh7&#10;HdlOWv49ywluM5rRzFduj86KGUMcPGnIFgoEUuPbgToNry93F5cgYjLUGusJNXxjhG11elKaovUH&#10;esZ5nzrBIxQLo6FPaSykjE2PzsSFH5E4+/TBmcQ2dLIN5sDjzspcqbV0ZiB+6M2I1z02X/vJabDv&#10;MdzXKn3MN91D2j3J6e02e9T6/CxTVyASHtNfGX7xGR0qZqr9RG0UVsMqUzlXWYDgeLXcLEHUGvL1&#10;BmRVyv/81Q9QSwMEFAAAAAgAh07iQIUqCUQwAgAAVQQAAA4AAABkcnMvZTJvRG9jLnhtbK1UwY7T&#10;MBC9I/EPlu80bRHZVdV0VbYqQqrYlQri7DpOY8n2GNttUj4A/oATl73zXf0Oxk7SRQuHPXBxJ57x&#10;G783z53ftFqRo3BeginoZDSmRBgOpTT7gn76uH51TYkPzJRMgREFPQlPbxYvX8wbOxNTqEGVwhEE&#10;MX7W2ILWIdhZlnleC838CKwwmKzAaRbw0+2z0rEG0bXKpuNxnjXgSuuAC+9xd9UlaY/ongMIVSW5&#10;WAE/aGFCh+qEYgEp+VpaTxfptlUleLirKi8CUQVFpiGt2ATjXVyzxZzN9o7ZWvL+Cuw5V3jCSTNp&#10;sOkFasUCIwcn/4LSkjvwUIURB511RJIiyGIyfqLNtmZWJC4otbcX0f3/g+UfjveOyLKgU0oM0zjw&#10;84/v55+/zg/fyDTK01g/w6qtxbrQvoUWTTPse9yMrNvK6fiLfAjmUdzTRVzRBsLjoavJVY7e4pia&#10;5Hl+fR1RssfD1vnwToAmMSiow9klSdlx40NXOpTEXgbWUqk0P2VIU9D89ZtxOnDJILgy2CNS6K4a&#10;o9Du2p7XDsoT0nLQ+cJbvpbYfMN8uGcOjYBM8KmEO1wqBdgE+oiSGtzXf+3HepwPZilp0FgF9V8O&#10;zAlK1HuDk4suHAI3BLshMAd9C+jVCT5Cy1OIB1xQQ1g50J/xBS1jF0wxw7FXQcMQ3obO3vgCuVgu&#10;UxF6zbKwMVvLI3Qn3/IQoJJJ2ShLp0WvFrotzaZ/GdHOf36nqsd/g8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lErTptYAAAAHAQAADwAAAAAAAAABACAAAAAiAAAAZHJzL2Rvd25yZXYueG1sUEsB&#10;AhQAFAAAAAgAh07iQIUqCUQwAgAAVQQAAA4AAAAAAAAAAQAgAAAAJQEAAGRycy9lMm9Eb2MueG1s&#10;UEsFBgAAAAAGAAYAWQEAAMcFAAAAAA==&#10;">
              <v:fill on="f" focussize="0,0"/>
              <v:stroke on="f" weight="0.5pt"/>
              <v:imagedata o:title=""/>
              <o:lock v:ext="edit" aspectratio="f"/>
              <v:textbox inset="0mm,0mm,0mm,0mm">
                <w:txbxContent>
                  <w:p w14:paraId="0A22916D">
                    <w:pPr>
                      <w:pStyle w:val="7"/>
                      <w:jc w:val="center"/>
                      <w:rPr>
                        <w:rFonts w:ascii="Times New Roman" w:hAnsi="Times New Roman" w:cs="Times New Roman"/>
                        <w:szCs w:val="18"/>
                      </w:rPr>
                    </w:pPr>
                    <w:r>
                      <w:rPr>
                        <w:rFonts w:ascii="Times New Roman" w:hAnsi="Times New Roman" w:cs="Times New Roman"/>
                        <w:szCs w:val="18"/>
                      </w:rPr>
                      <w:fldChar w:fldCharType="begin"/>
                    </w:r>
                    <w:r>
                      <w:rPr>
                        <w:rFonts w:ascii="Times New Roman" w:hAnsi="Times New Roman" w:cs="Times New Roman"/>
                        <w:szCs w:val="18"/>
                      </w:rPr>
                      <w:instrText xml:space="preserve"> PAGE  \* MERGEFORMAT </w:instrText>
                    </w:r>
                    <w:r>
                      <w:rPr>
                        <w:rFonts w:ascii="Times New Roman" w:hAnsi="Times New Roman" w:cs="Times New Roman"/>
                        <w:szCs w:val="18"/>
                      </w:rPr>
                      <w:fldChar w:fldCharType="separate"/>
                    </w:r>
                    <w:r>
                      <w:rPr>
                        <w:rFonts w:ascii="Times New Roman" w:hAnsi="Times New Roman" w:cs="Times New Roman"/>
                        <w:szCs w:val="18"/>
                      </w:rPr>
                      <w:t>2</w:t>
                    </w:r>
                    <w:r>
                      <w:rPr>
                        <w:rFonts w:ascii="Times New Roman" w:hAnsi="Times New Roman" w:cs="Times New Roman"/>
                        <w:szCs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BC2C2C"/>
    <w:rsid w:val="000913FA"/>
    <w:rsid w:val="001219B3"/>
    <w:rsid w:val="001E799D"/>
    <w:rsid w:val="00455AFD"/>
    <w:rsid w:val="00462686"/>
    <w:rsid w:val="0055531F"/>
    <w:rsid w:val="006A76B8"/>
    <w:rsid w:val="00713704"/>
    <w:rsid w:val="00740D8C"/>
    <w:rsid w:val="007536FC"/>
    <w:rsid w:val="00844609"/>
    <w:rsid w:val="008D12B8"/>
    <w:rsid w:val="009206CF"/>
    <w:rsid w:val="009E66D8"/>
    <w:rsid w:val="009F4DBD"/>
    <w:rsid w:val="00AF5DE6"/>
    <w:rsid w:val="00B20CC4"/>
    <w:rsid w:val="00B44233"/>
    <w:rsid w:val="00B751DB"/>
    <w:rsid w:val="00BF1A9A"/>
    <w:rsid w:val="00C94735"/>
    <w:rsid w:val="00D81F5E"/>
    <w:rsid w:val="00E41028"/>
    <w:rsid w:val="00E41165"/>
    <w:rsid w:val="00FA4071"/>
    <w:rsid w:val="04E92878"/>
    <w:rsid w:val="06943BE7"/>
    <w:rsid w:val="07A56E59"/>
    <w:rsid w:val="08E74D17"/>
    <w:rsid w:val="09BC2C2C"/>
    <w:rsid w:val="0A200B7B"/>
    <w:rsid w:val="0B5F3D37"/>
    <w:rsid w:val="109052A3"/>
    <w:rsid w:val="128D786A"/>
    <w:rsid w:val="15102064"/>
    <w:rsid w:val="178A230F"/>
    <w:rsid w:val="1ADD4569"/>
    <w:rsid w:val="218C2C2B"/>
    <w:rsid w:val="21DF2C72"/>
    <w:rsid w:val="22AC4DA5"/>
    <w:rsid w:val="2393591B"/>
    <w:rsid w:val="23F20D9C"/>
    <w:rsid w:val="251B177A"/>
    <w:rsid w:val="27576251"/>
    <w:rsid w:val="292A5F29"/>
    <w:rsid w:val="2ADC1F2C"/>
    <w:rsid w:val="2F841E18"/>
    <w:rsid w:val="2FE9467F"/>
    <w:rsid w:val="33D231C1"/>
    <w:rsid w:val="3600600F"/>
    <w:rsid w:val="37DE2B93"/>
    <w:rsid w:val="39D741CA"/>
    <w:rsid w:val="3D310511"/>
    <w:rsid w:val="3FBD51CD"/>
    <w:rsid w:val="40E37C31"/>
    <w:rsid w:val="482B7123"/>
    <w:rsid w:val="499802C4"/>
    <w:rsid w:val="4A6209BE"/>
    <w:rsid w:val="4B166F04"/>
    <w:rsid w:val="4CEE4DC5"/>
    <w:rsid w:val="4D3F0F18"/>
    <w:rsid w:val="4DC928D4"/>
    <w:rsid w:val="4DF06350"/>
    <w:rsid w:val="4EFF657E"/>
    <w:rsid w:val="4FA44891"/>
    <w:rsid w:val="511B4FD6"/>
    <w:rsid w:val="55054D29"/>
    <w:rsid w:val="55B46FB5"/>
    <w:rsid w:val="55F74EA3"/>
    <w:rsid w:val="58B14386"/>
    <w:rsid w:val="58E60675"/>
    <w:rsid w:val="598F5152"/>
    <w:rsid w:val="5A1F6C40"/>
    <w:rsid w:val="5B2776D2"/>
    <w:rsid w:val="5CFF4AFB"/>
    <w:rsid w:val="60F31CBA"/>
    <w:rsid w:val="634E7862"/>
    <w:rsid w:val="65A67D16"/>
    <w:rsid w:val="689A64C3"/>
    <w:rsid w:val="69ED34C6"/>
    <w:rsid w:val="6B933EB2"/>
    <w:rsid w:val="6C1E0DB6"/>
    <w:rsid w:val="71A114B4"/>
    <w:rsid w:val="751374C9"/>
    <w:rsid w:val="769D24D0"/>
    <w:rsid w:val="794677B4"/>
    <w:rsid w:val="7A090C57"/>
    <w:rsid w:val="7D30647E"/>
    <w:rsid w:val="7E75366D"/>
    <w:rsid w:val="EFFEA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0"/>
    <w:qFormat/>
    <w:uiPriority w:val="0"/>
    <w:pPr>
      <w:keepNext/>
      <w:keepLines/>
      <w:snapToGrid w:val="0"/>
      <w:jc w:val="center"/>
      <w:outlineLvl w:val="0"/>
    </w:pPr>
    <w:rPr>
      <w:rFonts w:eastAsia="宋体"/>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3">
    <w:name w:val="Default Paragraph Font"/>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4"/>
    <w:qFormat/>
    <w:uiPriority w:val="0"/>
    <w:pPr>
      <w:jc w:val="left"/>
    </w:pPr>
  </w:style>
  <w:style w:type="paragraph" w:styleId="6">
    <w:name w:val="Balloon Text"/>
    <w:basedOn w:val="1"/>
    <w:link w:val="21"/>
    <w:qFormat/>
    <w:uiPriority w:val="0"/>
    <w:rPr>
      <w:sz w:val="18"/>
      <w:szCs w:val="18"/>
    </w:rPr>
  </w:style>
  <w:style w:type="paragraph" w:styleId="7">
    <w:name w:val="footer"/>
    <w:basedOn w:val="1"/>
    <w:link w:val="22"/>
    <w:qFormat/>
    <w:uiPriority w:val="99"/>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99"/>
    <w:pPr>
      <w:spacing w:beforeAutospacing="1" w:afterAutospacing="1"/>
      <w:jc w:val="left"/>
    </w:pPr>
    <w:rPr>
      <w:rFonts w:cs="Times New Roman"/>
      <w:kern w:val="0"/>
      <w:sz w:val="24"/>
    </w:rPr>
  </w:style>
  <w:style w:type="paragraph" w:styleId="11">
    <w:name w:val="annotation subject"/>
    <w:basedOn w:val="5"/>
    <w:next w:val="5"/>
    <w:link w:val="25"/>
    <w:qFormat/>
    <w:uiPriority w:val="0"/>
    <w:rPr>
      <w:b/>
      <w:bCs/>
    </w:rPr>
  </w:style>
  <w:style w:type="character" w:styleId="14">
    <w:name w:val="Strong"/>
    <w:basedOn w:val="13"/>
    <w:qFormat/>
    <w:uiPriority w:val="0"/>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qFormat/>
    <w:uiPriority w:val="0"/>
    <w:rPr>
      <w:sz w:val="21"/>
      <w:szCs w:val="21"/>
    </w:rPr>
  </w:style>
  <w:style w:type="paragraph" w:customStyle="1" w:styleId="17">
    <w:name w:val="WPSOffice手动目录 1"/>
    <w:qFormat/>
    <w:uiPriority w:val="0"/>
    <w:rPr>
      <w:rFonts w:ascii="Times New Roman" w:hAnsi="Times New Roman" w:eastAsia="宋体" w:cs="Times New Roman"/>
      <w:lang w:val="en-US" w:eastAsia="zh-CN" w:bidi="ar-SA"/>
    </w:rPr>
  </w:style>
  <w:style w:type="paragraph" w:styleId="18">
    <w:name w:val="List Paragraph"/>
    <w:basedOn w:val="1"/>
    <w:qFormat/>
    <w:uiPriority w:val="99"/>
    <w:pPr>
      <w:ind w:firstLine="420" w:firstLineChars="200"/>
    </w:pPr>
  </w:style>
  <w:style w:type="character" w:customStyle="1" w:styleId="19">
    <w:name w:val="标题 1 Char"/>
    <w:qFormat/>
    <w:uiPriority w:val="0"/>
    <w:rPr>
      <w:rFonts w:eastAsia="宋体" w:asciiTheme="minorHAnsi" w:hAnsiTheme="minorHAnsi"/>
      <w:b/>
      <w:kern w:val="44"/>
      <w:sz w:val="44"/>
    </w:rPr>
  </w:style>
  <w:style w:type="character" w:customStyle="1" w:styleId="20">
    <w:name w:val="标题 1 字符"/>
    <w:link w:val="2"/>
    <w:qFormat/>
    <w:uiPriority w:val="0"/>
    <w:rPr>
      <w:rFonts w:eastAsia="宋体" w:asciiTheme="minorHAnsi" w:hAnsiTheme="minorHAnsi"/>
      <w:b/>
      <w:kern w:val="44"/>
      <w:sz w:val="44"/>
    </w:rPr>
  </w:style>
  <w:style w:type="character" w:customStyle="1" w:styleId="21">
    <w:name w:val="批注框文本 字符"/>
    <w:basedOn w:val="13"/>
    <w:link w:val="6"/>
    <w:qFormat/>
    <w:uiPriority w:val="0"/>
    <w:rPr>
      <w:rFonts w:asciiTheme="minorHAnsi" w:hAnsiTheme="minorHAnsi" w:eastAsiaTheme="minorEastAsia" w:cstheme="minorBidi"/>
      <w:kern w:val="2"/>
      <w:sz w:val="18"/>
      <w:szCs w:val="18"/>
    </w:rPr>
  </w:style>
  <w:style w:type="character" w:customStyle="1" w:styleId="22">
    <w:name w:val="页脚 字符"/>
    <w:basedOn w:val="13"/>
    <w:link w:val="7"/>
    <w:qFormat/>
    <w:uiPriority w:val="99"/>
    <w:rPr>
      <w:rFonts w:asciiTheme="minorHAnsi" w:hAnsiTheme="minorHAnsi" w:eastAsiaTheme="minorEastAsia" w:cstheme="minorBidi"/>
      <w:kern w:val="2"/>
      <w:sz w:val="18"/>
      <w:szCs w:val="24"/>
    </w:rPr>
  </w:style>
  <w:style w:type="paragraph" w:customStyle="1" w:styleId="2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4">
    <w:name w:val="批注文字 字符"/>
    <w:basedOn w:val="13"/>
    <w:link w:val="5"/>
    <w:qFormat/>
    <w:uiPriority w:val="0"/>
    <w:rPr>
      <w:rFonts w:asciiTheme="minorHAnsi" w:hAnsiTheme="minorHAnsi" w:eastAsiaTheme="minorEastAsia" w:cstheme="minorBidi"/>
      <w:kern w:val="2"/>
      <w:sz w:val="21"/>
      <w:szCs w:val="24"/>
    </w:rPr>
  </w:style>
  <w:style w:type="character" w:customStyle="1" w:styleId="25">
    <w:name w:val="批注主题 字符"/>
    <w:basedOn w:val="24"/>
    <w:link w:val="11"/>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1576f985-e407-46c6-8e4d-9716697f775c</errorID>
      <errorWord>亟需</errorWord>
      <group>L1_Word</group>
      <groupName>字词问题</groupName>
      <ability>L2_Typo</ability>
      <abilityName>字词错误</abilityName>
      <candidateList>
        <item>亟须</item>
      </candidateList>
      <explain>存在发音相同字词的误用。</explain>
      <paraID>5264316C</paraID>
      <start>457</start>
      <end>459</end>
      <status>modified</status>
      <modifiedWord>亟须</modifiedWord>
      <trackRevisions>false</trackRevisions>
    </reviewItem>
    <reviewItem>
      <errorID>c5d29a5f-7278-4d54-9199-537394169edb</errorID>
      <errorWord>推进</errorWord>
      <group>L1_Word</group>
      <groupName>字词问题</groupName>
      <ability>L2_Typo</ability>
      <abilityName>字词错误</abilityName>
      <candidateList>
        <item>的推进</item>
      </candidateList>
      <explain/>
      <paraID>2F75B084</paraID>
      <start>56</start>
      <end>59</end>
      <status>modified</status>
      <modifiedWord>的推进</modifiedWord>
      <trackRevisions>false</trackRevisions>
    </reviewItem>
    <reviewItem>
      <errorID>ade5a438-77bd-4fa9-9255-e525906bf166</errorID>
      <errorWord>规范</errorWord>
      <group>L1_Grammar</group>
      <groupName>语法问题</groupName>
      <ability>L2_Grammar</ability>
      <abilityName>语法错误</abilityName>
      <candidateList>
        <item>完善</item>
      </candidateList>
      <explain>“规范～提出”搭配不当，建议修改为“完善～提出”。</explain>
      <paraID> BEEAB84</paraID>
      <start>92</start>
      <end>94</end>
      <status>modified</status>
      <modifiedWord>完善</modifiedWord>
      <trackRevisions>false</trackRevisions>
    </reviewItem>
    <reviewItem>
      <errorID>c0254829-0871-44c3-ad1c-68433474039d</errorID>
      <errorWord>-</errorWord>
      <group>L1_Format</group>
      <groupName>格式问题</groupName>
      <ability>L2_HalfPunc_CN</ability>
      <abilityName>全半角问题</abilityName>
      <candidateList>
        <item>－</item>
      </candidateList>
      <explain>文本全半角错误。</explain>
      <paraID>189A7B79</paraID>
      <start>548</start>
      <end>549</end>
      <status>modified</status>
      <modifiedWord>－</modifiedWord>
      <trackRevisions>false</trackRevisions>
    </reviewItem>
    <reviewItem>
      <errorID>73d8e021-d4b1-40d2-9c01-43b3f75252fa</errorID>
      <errorWord>-</errorWord>
      <group>L1_Format</group>
      <groupName>格式问题</groupName>
      <ability>L2_HalfPunc_CN</ability>
      <abilityName>全半角问题</abilityName>
      <candidateList>
        <item>－</item>
      </candidateList>
      <explain>文本全半角错误。</explain>
      <paraID>189A7B79</paraID>
      <start>551</start>
      <end>552</end>
      <status>modified</status>
      <modifiedWord>－</modifiedWord>
      <trackRevisions>false</trackRevisions>
    </reviewItem>
    <reviewItem>
      <errorID>67578fa2-259f-4716-b99e-0f4cb41f38ec</errorID>
      <errorWord>精防</errorWord>
      <group>L1_Word</group>
      <groupName>字词问题</groupName>
      <ability>L2_Typo</ability>
      <abilityName>字词错误</abilityName>
      <candidateList>
        <item>精神</item>
      </candidateList>
      <explain/>
      <paraID>79778CA5</paraID>
      <start>20</start>
      <end>22</end>
      <status>modified</status>
      <modifiedWord>精神</modifiedWord>
      <trackRevisions>false</trackRevisions>
    </reviewItem>
    <reviewItem>
      <errorID>a2b97530-3aaa-433a-9ccc-3d5ff5577eae</errorID>
      <errorWord>集</errorWord>
      <group>L1_Word</group>
      <groupName>字词问题</groupName>
      <ability>L2_Typo</ability>
      <abilityName>字词错误</abilityName>
      <candidateList>
        <item>集等</item>
      </candidateList>
      <explain/>
      <paraID>79778CA5</paraID>
      <start>173</start>
      <end>175</end>
      <status>modified</status>
      <modifiedWord>集等</modifiedWord>
      <trackRevisions>false</trackRevisions>
    </reviewItem>
    <reviewItem>
      <errorID>cff0e3c5-9765-40d9-9bc0-468f0a22970b</errorID>
      <errorWord>-</errorWord>
      <group>L1_Format</group>
      <groupName>格式问题</groupName>
      <ability>L2_HalfPunc_CN</ability>
      <abilityName>全半角问题</abilityName>
      <candidateList>
        <item>－</item>
      </candidateList>
      <explain>文本全半角错误。</explain>
      <paraID>32DB1A43</paraID>
      <start>8</start>
      <end>9</end>
      <status>modified</status>
      <modifiedWord>－</modifiedWord>
      <trackRevisions>false</trackRevisions>
    </reviewItem>
    <reviewItem>
      <errorID>742772fb-9732-481a-9279-1e16c9a86b03</errorID>
      <errorWord>，</errorWord>
      <group>L1_Word</group>
      <groupName>字词问题</groupName>
      <ability>L2_Typo</ability>
      <abilityName>字词错误</abilityName>
      <candidateList>
        <item>，在</item>
      </candidateList>
      <explain/>
      <paraID>7F01A8A3</paraID>
      <start>62</start>
      <end>64</end>
      <status>modified</status>
      <modifiedWord>，在</modifiedWord>
      <trackRevisions>false</trackRevisions>
    </reviewItem>
    <reviewItem>
      <errorID>4dc1aad0-5973-44ce-b60d-c9b1372636da</errorID>
      <errorWord>-</errorWord>
      <group>L1_Format</group>
      <groupName>格式问题</groupName>
      <ability>L2_HalfPunc_CN</ability>
      <abilityName>全半角问题</abilityName>
      <candidateList>
        <item>－</item>
      </candidateList>
      <explain>文本全半角错误。</explain>
      <paraID>57DE804D</paraID>
      <start>69</start>
      <end>70</end>
      <status>modified</status>
      <modifiedWord>－</modifiedWord>
      <trackRevisions>false</trackRevisions>
    </reviewItem>
    <reviewItem>
      <errorID>7505de67-4508-486e-b582-8891c4a7b3fd</errorID>
      <errorWord>-</errorWord>
      <group>L1_Format</group>
      <groupName>格式问题</groupName>
      <ability>L2_HalfPunc_CN</ability>
      <abilityName>全半角问题</abilityName>
      <candidateList>
        <item>－</item>
      </candidateList>
      <explain>文本全半角错误。</explain>
      <paraID>57DE804D</paraID>
      <start>136</start>
      <end>137</end>
      <status>modified</status>
      <modifiedWord>－</modifiedWord>
      <trackRevisions>false</trackRevisions>
    </reviewItem>
    <reviewItem>
      <errorID>fdb16ef6-5b20-462a-9bbf-237677c18c25</errorID>
      <errorWord>-</errorWord>
      <group>L1_Format</group>
      <groupName>格式问题</groupName>
      <ability>L2_HalfPunc_CN</ability>
      <abilityName>全半角问题</abilityName>
      <candidateList>
        <item>－</item>
      </candidateList>
      <explain>文本全半角错误。</explain>
      <paraID>68778D5F</paraID>
      <start>69</start>
      <end>70</end>
      <status>modified</status>
      <modifiedWord>－</modifiedWord>
      <trackRevisions>false</trackRevisions>
    </reviewItem>
    <reviewItem>
      <errorID>0e2b9c97-69e2-44cf-a48f-9ddc25c8556a</errorID>
      <errorWord>-</errorWord>
      <group>L1_Format</group>
      <groupName>格式问题</groupName>
      <ability>L2_HalfPunc_CN</ability>
      <abilityName>全半角问题</abilityName>
      <candidateList>
        <item>－</item>
      </candidateList>
      <explain>文本全半角错误。</explain>
      <paraID>68778D5F</paraID>
      <start>172</start>
      <end>173</end>
      <status>modified</status>
      <modifiedWord>－</modifiedWord>
      <trackRevisions>false</trackRevisions>
    </reviewItem>
    <reviewItem>
      <errorID>e5ce4e19-7331-4baf-a967-82e60adb81e9</errorID>
      <errorWord>-</errorWord>
      <group>L1_Format</group>
      <groupName>格式问题</groupName>
      <ability>L2_HalfPunc_CN</ability>
      <abilityName>全半角问题</abilityName>
      <candidateList>
        <item>－</item>
      </candidateList>
      <explain>文本全半角错误。</explain>
      <paraID>68778D5F</paraID>
      <start>175</start>
      <end>176</end>
      <status>modified</status>
      <modifiedWord>－</modifiedWord>
      <trackRevisions>false</trackRevisions>
    </reviewItem>
    <reviewItem>
      <errorID>876ef50c-61c3-4abd-b655-f6bcdd1ee025</errorID>
      <errorWord>《青少年自杀风险“脑-心轴”多模态超声筛查技术规范》（草案）</errorWord>
      <group>L1_Knowledge</group>
      <groupName>知识性问题</groupName>
      <ability>L2_Knowledge</ability>
      <abilityName>其他知识</abilityName>
      <candidateList>
        <item>《青少年自杀风险“脑-心轴”多模态超声筛查技术规范（草案）》</item>
      </candidateList>
      <explain>疑似政策文件、法律法规名称等书写不规范，请注意检查。</explain>
      <paraID>4D878FAF</paraID>
      <start>2</start>
      <end>32</end>
      <status>modified</status>
      <modifiedWord>《青少年自杀风险“脑-心轴”多模态超声筛查技术规范（草案）》</modifiedWord>
      <trackRevisions>false</trackRevisions>
    </reviewItem>
    <reviewItem>
      <errorID>1d239812-7ed5-436c-a5cc-068be537d338</errorID>
      <errorWord>-</errorWord>
      <group>L1_Format</group>
      <groupName>格式问题</groupName>
      <ability>L2_HalfPunc_CN</ability>
      <abilityName>全半角问题</abilityName>
      <candidateList>
        <item>－</item>
      </candidateList>
      <explain>文本全半角错误。</explain>
      <paraID>6D027886</paraID>
      <start>294</start>
      <end>295</end>
      <status>modified</status>
      <modifiedWord>－</modifiedWord>
      <trackRevisions>false</trackRevisions>
    </reviewItem>
    <reviewItem>
      <errorID>64f739a6-4df0-4aed-a2de-5c1244fc4fc8</errorID>
      <errorWord>-</errorWord>
      <group>L1_Format</group>
      <groupName>格式问题</groupName>
      <ability>L2_HalfPunc_CN</ability>
      <abilityName>全半角问题</abilityName>
      <candidateList>
        <item>－</item>
      </candidateList>
      <explain>文本全半角错误。</explain>
      <paraID>6D027886</paraID>
      <start>297</start>
      <end>298</end>
      <status>modified</status>
      <modifiedWord>－</modifiedWord>
      <trackRevisions>false</trackRevisions>
    </reviewItem>
    <reviewItem>
      <errorID>0a990dbc-2c1f-47d9-82a4-2339e7f446b4</errorID>
      <errorWord>-</errorWord>
      <group>L1_Format</group>
      <groupName>格式问题</groupName>
      <ability>L2_HalfPunc_CN</ability>
      <abilityName>全半角问题</abilityName>
      <candidateList>
        <item>－</item>
      </candidateList>
      <explain>文本全半角错误。</explain>
      <paraID>6D027886</paraID>
      <start>300</start>
      <end>301</end>
      <status>modified</status>
      <modifiedWord>－</modifiedWord>
      <trackRevisions>false</trackRevisions>
    </reviewItem>
    <reviewItem>
      <errorID>7005faa6-c1d6-4e9a-a886-2d23743d69a1</errorID>
      <errorWord>，</errorWord>
      <group>L1_Word</group>
      <groupName>字词问题</groupName>
      <ability>L2_Typo</ability>
      <abilityName>字词错误</abilityName>
      <candidateList>
        <item>，在</item>
      </candidateList>
      <explain/>
      <paraID>6D543F24</paraID>
      <start>136</start>
      <end>138</end>
      <status>modified</status>
      <modifiedWord>，在</modifiedWord>
      <trackRevisions>false</trackRevisions>
    </reviewItem>
    <reviewItem>
      <errorID>8a89e363-566b-4aa2-b0be-7e8998a1366e</errorID>
      <errorWord>保</errorWord>
      <group>L1_Word</group>
      <groupName>字词问题</groupName>
      <ability>L2_Typo</ability>
      <abilityName>字词错误</abilityName>
      <candidateList>
        <item>保等</item>
      </candidateList>
      <explain/>
      <paraID>229B05F9</paraID>
      <start>145</start>
      <end>147</end>
      <status>modified</status>
      <modifiedWord>保等</modifiedWord>
      <trackRevisions>false</trackRevisions>
    </reviewItem>
    <reviewItem>
      <errorID>42167c00-9878-40b2-9068-f069786a80f9</errorID>
      <errorWord>持</errorWord>
      <group>L1_Word</group>
      <groupName>字词问题</groupName>
      <ability>L2_Typo</ability>
      <abilityName>字词错误</abilityName>
      <candidateList>
        <item>持等</item>
      </candidateList>
      <explain/>
      <paraID>229B05F9</paraID>
      <start>244</start>
      <end>246</end>
      <status>modified</status>
      <modifiedWord>持等</modifiedWord>
      <trackRevisions>false</trackRevisions>
    </reviewItem>
    <reviewItem>
      <errorID>a31d56d8-ffc7-42f9-9211-d5aafc6fc92a</errorID>
      <errorWord>亟需</errorWord>
      <group>L1_Word</group>
      <groupName>字词问题</groupName>
      <ability>L2_Typo</ability>
      <abilityName>字词错误</abilityName>
      <candidateList>
        <item>亟须</item>
      </candidateList>
      <explain>存在发音相同字词的误用。</explain>
      <paraID>229B05F9</paraID>
      <start>313</start>
      <end>315</end>
      <status>modified</status>
      <modifiedWord>亟须</modifiedWord>
      <trackRevisions>false</trackRevisions>
    </reviewItem>
    <reviewItem>
      <errorID>a590b448-9b74-4a85-82e1-d62ca23aca30</errorID>
      <errorWord>湖南省</errorWord>
      <group>L1_Word</group>
      <groupName>字词问题</groupName>
      <ability>L2_Typo</ability>
      <abilityName>字词错误</abilityName>
      <candidateList>
        <item>湖南</item>
      </candidateList>
      <explain/>
      <paraID>729081B1</paraID>
      <start>52</start>
      <end>54</end>
      <status>modified</status>
      <modifiedWord>湖南</modifiedWord>
      <trackRevisions>false</trackRevisions>
    </reviewItem>
    <reviewItem>
      <errorID>b1aa5d22-3647-4a91-b89e-f5eeb7d3b5dc</errorID>
      <errorWord>四川省</errorWord>
      <group>L1_Word</group>
      <groupName>字词问题</groupName>
      <ability>L2_Typo</ability>
      <abilityName>字词错误</abilityName>
      <candidateList>
        <item>四川</item>
      </candidateList>
      <explain/>
      <paraID>729081B1</paraID>
      <start>55</start>
      <end>57</end>
      <status>modified</status>
      <modifiedWord>四川</modifiedWord>
      <trackRevisions>false</trackRevisions>
    </reviewItem>
    <reviewItem>
      <errorID>6eaa08dc-2ad1-4f45-93d7-78621623a310</errorID>
      <errorWord>期后</errorWord>
      <group>L1_Word</group>
      <groupName>字词问题</groupName>
      <ability>L2_Typo</ability>
      <abilityName>字词错误</abilityName>
      <candidateList>
        <item>后期</item>
      </candidateList>
      <explain/>
      <paraID>5D49B88A</paraID>
      <start>107</start>
      <end>109</end>
      <status>modified</status>
      <modifiedWord>后期</modifiedWord>
      <trackRevisions>false</trackRevisions>
    </reviewItem>
    <reviewItem>
      <errorID>9a99fc3a-cac4-499d-b514-4face4c9848c</errorID>
      <errorWord>精神病障碍康复人群长期养护一体化服务体系建设研究</errorWord>
      <group>L1_Other</group>
      <groupName>其他问题</groupName>
      <ability>L2_Consistency</ability>
      <abilityName>一致性检查</abilityName>
      <candidateList>
        <item>精神障碍康复人群长期养护一体化服务体系建设研究</item>
      </candidateList>
      <explain>实体一致性错误，课题名称原文统一为“精神障碍康复人群”，此处多写了一个“病”字，表述不一致</explain>
      <paraID>51CC89B3</paraID>
      <start>6</start>
      <end>29</end>
      <status>modified</status>
      <modifiedWord>精神障碍康复人群长期养护一体化服务体系建设研究</modifiedWord>
      <trackRevisions>false</trackRevisions>
    </reviewItem>
    <reviewItem>
      <errorID>90c809be-a1cd-4bcd-b9ce-771f66103e3f</errorID>
      <errorWord>亟需</errorWord>
      <group>L1_Word</group>
      <groupName>字词问题</groupName>
      <ability>L2_Typo</ability>
      <abilityName>字词错误</abilityName>
      <candidateList>
        <item>亟须</item>
      </candidateList>
      <explain>存在发音相同字词的误用。</explain>
      <paraID>1543B9E3</paraID>
      <start>204</start>
      <end>206</end>
      <status>modified</status>
      <modifiedWord>亟须</modifiedWord>
      <trackRevisions>false</trackRevisions>
    </reviewItem>
    <reviewItem>
      <errorID>e295ef16-53c5-43de-a77f-2bd4dee2dc19</errorID>
      <errorWord>亟需</errorWord>
      <group>L1_Word</group>
      <groupName>字词问题</groupName>
      <ability>L2_Typo</ability>
      <abilityName>字词错误</abilityName>
      <candidateList>
        <item>亟须</item>
      </candidateList>
      <explain>存在发音相同字词的误用。</explain>
      <paraID>1FDF1CF2</paraID>
      <start>154</start>
      <end>156</end>
      <status>modified</status>
      <modifiedWord>亟须</modifiedWord>
      <trackRevisions>false</trackRevisions>
    </reviewItem>
    <reviewItem>
      <errorID>93c7f28e-a290-40a4-bba0-f4454969fef6</errorID>
      <errorWord>和高质量发展</errorWord>
      <group>L1_Political</group>
      <groupName>政治性问题</groupName>
      <ability>L2_Keyword</ability>
      <abilityName>固定表述</abilityName>
      <candidateList>
        <item>、推动高质量发展</item>
      </candidateList>
      <explain>此处内容疑似含有固定表述相关错误，建议核查。</explain>
      <paraID>779C6076</paraID>
      <start>172</start>
      <end>180</end>
      <status>modified</status>
      <modifiedWord>、推动高质量发展</modifiedWord>
      <trackRevisions>false</trackRevisions>
    </reviewItem>
    <reviewItem>
      <errorID>ed4703f8-f693-4502-877c-2b840f70f500</errorID>
      <errorWord>规</errorWord>
      <group>L1_Word</group>
      <groupName>字词问题</groupName>
      <ability>L2_Typo</ability>
      <abilityName>字词错误</abilityName>
      <candidateList>
        <item>规性</item>
      </candidateList>
      <explain/>
      <paraID>4885E3BB</paraID>
      <start>125</start>
      <end>127</end>
      <status>modified</status>
      <modifiedWord>规性</modifiedWord>
      <trackRevisions>false</trackRevisions>
    </reviewItem>
    <reviewItem>
      <errorID>499c9bff-74ba-467e-8dc0-f4b08fefe345</errorID>
      <errorWord>规</errorWord>
      <group>L1_Word</group>
      <groupName>字词问题</groupName>
      <ability>L2_Typo</ability>
      <abilityName>字词错误</abilityName>
      <candidateList>
        <item>规性</item>
      </candidateList>
      <explain/>
      <paraID>6D0970BE</paraID>
      <start>87</start>
      <end>89</end>
      <status>modified</status>
      <modifiedWord>规性</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DC5CF6-FDDE-4551-8F14-9662439A00E4}">
  <ds:schemaRefs/>
</ds:datastoreItem>
</file>

<file path=docProps/app.xml><?xml version="1.0" encoding="utf-8"?>
<Properties xmlns="http://schemas.openxmlformats.org/officeDocument/2006/extended-properties" xmlns:vt="http://schemas.openxmlformats.org/officeDocument/2006/docPropsVTypes">
  <Template>Normal</Template>
  <Pages>38</Pages>
  <Words>16563</Words>
  <Characters>17085</Characters>
  <Lines>128</Lines>
  <Paragraphs>36</Paragraphs>
  <TotalTime>6</TotalTime>
  <ScaleCrop>false</ScaleCrop>
  <LinksUpToDate>false</LinksUpToDate>
  <CharactersWithSpaces>17130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2026-09-14T02:37:00Z</dcterms:created>
  <dc:creator>武佳敏</dc:creator>
  <cp:lastModifiedBy>ling</cp:lastModifiedBy>
  <cp:lastPrinted>2025-11-14T17:08:00Z</cp:lastPrinted>
  <dcterms:modified xsi:type="dcterms:W3CDTF">2026-09-14T09:08:31Z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F43B57EE367646D69BF8930A955838D3_13</vt:lpwstr>
  </property>
  <property fmtid="{D5CDD505-2E9C-101B-9397-08002B2CF9AE}" pid="4" name="KSOTemplateDocerSaveRecord">
    <vt:lpwstr>eyJoZGlkIjoiMzEwNTM5NzYwMDRjMzkwZTVkZjY2ODkwMGIxNGU0OTUiLCJ1c2VySWQiOiI2NDUwMjk2MTcifQ==</vt:lpwstr>
  </property>
</Properties>
</file>