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b/>
          <w:bCs/>
          <w:spacing w:val="-11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全国社会心理服务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体系</w:t>
      </w: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建设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经验交流大</w:t>
      </w: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pacing w:val="-1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圆桌对话会设置指南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黑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黑体"/>
                <w:bCs/>
                <w:sz w:val="30"/>
                <w:szCs w:val="30"/>
              </w:rPr>
              <w:t>领域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黑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sz w:val="30"/>
                <w:szCs w:val="30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一、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中国式现代化与高质量发展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书记市长讲坛——社会心理服务赋能城市高质量发展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.中华优秀传统文化与社会心理服务体系建设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3.社会治理与社会心理服务体系建设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.中国企业及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企业家履行社会责任助力健康中国建设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.网络文化环境与社会心态治理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社会心理服务与心身健康产业发展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7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二、服务能力建设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.社会心理服务实用方法与技术（可扩展，如心理问题筛查、心理援助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与心理危机干预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、心理热线、心理咨询、心理治疗、危机干预及心身医学等）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.中医与心理健康服务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传媒行业助力社会心理服务体系建设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三、社会心理服务网络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.机关、企事业单位社会心理服务体系建设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11.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中小学校社会心理服务体系建设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高校社会心理服务体系建设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6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.医疗卫生系统社会心理服务体系建设（可扩展，如精神专科医院、综合医院、中医院等）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1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.司法系统社会心理服务体系建设（可扩展，如公安系统、监狱等）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.基层社区及农村社会心理服务体系建设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四、重点人群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6.0-6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岁儿童社会心理服务体系建设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.青少年社会心理服务体系建设（可扩展）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老年人、孕产妇、残疾人等重点人群社会心理服务体系建设（可扩展）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特殊人群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Hans"/>
              </w:rPr>
              <w:t>社会心理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服务体系建设（可扩展）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.职业人群社会心理服务体系建设（可扩展，如公务员、企事业单位、各细分行业等）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4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.严重精神障碍患者全程规范化管理服务及照料者支持体系建设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五、人才队伍建设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.医疗机构心理健康服务队伍建设与发展（可扩展，如精神专科医生、护士、心理治疗师、非精神专科医务工作人员等）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.心理咨询机构和从业人员专业化发展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  <w:t>24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.社会心理服务人才队伍培养培训体系和机制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7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六、机制保障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.社会心理服务规范化、法治化、长效化建设（可扩展，如服务质量评估等）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5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七</w:t>
            </w:r>
            <w:r>
              <w:rPr>
                <w:rFonts w:ascii="仿宋" w:hAnsi="仿宋" w:eastAsia="仿宋" w:cs="黑体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信息化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.大数据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、云计算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物联网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、人工智能及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虚拟现实等新一代信息技术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赋能社会心理服务体系建设（可扩展）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八</w:t>
            </w:r>
            <w:r>
              <w:rPr>
                <w:rFonts w:ascii="仿宋" w:hAnsi="仿宋" w:eastAsia="仿宋" w:cs="黑体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其他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5FFDC1"/>
    <w:rsid w:val="FE5FF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2024-02-05T09:49:00Z</dcterms:created>
  <dc:creator>冰儿</dc:creator>
  <cp:lastModifiedBy>冰儿</cp:lastModifiedBy>
  <dcterms:modified xsi:type="dcterms:W3CDTF">2024-02-05T09:49:58Z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FFD6FD6EAEA8F1C3B33EC065FB055F1C_41</vt:lpwstr>
  </property>
</Properties>
</file>