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全国社会心理服务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体系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建设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经验交流大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圆桌对话会设置指南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领域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方正小标宋简体"/>
                <w:sz w:val="30"/>
                <w:szCs w:val="30"/>
              </w:rPr>
              <w:t>一、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中国式现代化与高质量发展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书记市长讲坛——社会心理服务赋能城市高质量发展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.中华优秀传统文化与社会心理服务体系建设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3.社会治理与社会心理服务体系建设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.中国企业及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企业家履行社会责任助力健康中国建设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.网络文化环境与社会心态治理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社会心理服务与心身健康产业发展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二、服务能力建设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.社会心理服务实用方法与技术（可扩展，如心理问题筛查、心理援助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与心理危机干预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、心理热线、心理咨询、心理治疗、危机干预及心身医学等）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.中医与心理健康服务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传媒行业助力社会心理服务体系建设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三、社会心理服务网络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.机关、企事业单位社会心理服务体系建设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11.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中小学校社会心理服务体系建设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高校社会心理服务体系建设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.医疗卫生系统社会心理服务体系建设（可扩展，如精神专科医院、综合医院、中医院等）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.司法系统社会心理服务体系建设（可扩展，如公安系统、监狱等）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.基层社区及农村社会心理服务体系建设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四、重点人群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6.0-6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岁儿童社会心理服务体系建设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.青少年社会心理服务体系建设（可扩展）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老年人、孕产妇、残疾人等重点人群社会心理服务体系建设（可扩展）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9.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特殊人群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社会心理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.职业人群社会心理服务体系建设（可扩展，如公务员、企事业单位、各细分行业等）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方正小标宋简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.严重精神障碍患者全程规范化管理服务及照料者支持体系建设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五、人才队伍建设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.医疗机构心理健康服务队伍建设与发展（可扩展，如精神专科医生、护士、心理治疗师、非精神专科医务工作人员等）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.心理咨询机构和从业人员专业化发展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  <w:lang w:bidi="ar"/>
              </w:rPr>
              <w:t>24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bidi="ar"/>
              </w:rPr>
              <w:t>.社会心理服务人才队伍培养培训体系和机制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7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六、机制保障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.社会心理服务规范化、法治化、长效化建设（可扩展，如服务质量评估等）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七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信息化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.大数据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、云计算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物联网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、人工智能及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虚拟现实等新一代信息技术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赋能社会心理服务体系建设（可扩展）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八</w:t>
            </w:r>
            <w:r>
              <w:rPr>
                <w:rFonts w:ascii="仿宋" w:hAnsi="仿宋" w:eastAsia="仿宋" w:cs="黑体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黑体"/>
                <w:sz w:val="30"/>
                <w:szCs w:val="30"/>
              </w:rPr>
              <w:t>其他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FFDC1"/>
    <w:rsid w:val="FE5FF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2024-02-05T09:49:00Z</dcterms:created>
  <dc:creator>冰儿</dc:creator>
  <cp:lastModifiedBy>冰儿</cp:lastModifiedBy>
  <dcterms:modified xsi:type="dcterms:W3CDTF">2024-02-05T09:49:58Z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FFD6FD6EAEA8F1C3B33EC065FB055F1C_41</vt:lpwstr>
  </property>
</Properties>
</file>